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D7" w:rsidRDefault="00836ED7" w:rsidP="00836ED7">
      <w:pPr>
        <w:rPr>
          <w:rFonts w:ascii="仿宋" w:eastAsia="仿宋" w:hAnsi="仿宋" w:cs="仿宋"/>
          <w:sz w:val="32"/>
          <w:szCs w:val="32"/>
        </w:rPr>
      </w:pPr>
    </w:p>
    <w:p w:rsidR="00836ED7" w:rsidRDefault="00836ED7" w:rsidP="00836ED7">
      <w:pPr>
        <w:rPr>
          <w:rFonts w:ascii="仿宋" w:eastAsia="仿宋" w:hAnsi="仿宋" w:cs="仿宋"/>
          <w:sz w:val="32"/>
          <w:szCs w:val="32"/>
        </w:rPr>
      </w:pPr>
    </w:p>
    <w:p w:rsidR="00836ED7" w:rsidRDefault="00836ED7" w:rsidP="00836ED7">
      <w:pPr>
        <w:jc w:val="center"/>
        <w:rPr>
          <w:rFonts w:asciiTheme="majorEastAsia" w:eastAsiaTheme="majorEastAsia" w:hAnsiTheme="majorEastAsia" w:cstheme="majorEastAsia"/>
          <w:b/>
          <w:bCs/>
          <w:sz w:val="84"/>
          <w:szCs w:val="84"/>
        </w:rPr>
      </w:pPr>
    </w:p>
    <w:p w:rsidR="00836ED7" w:rsidRPr="00911BD4" w:rsidRDefault="00836ED7" w:rsidP="00836ED7">
      <w:pPr>
        <w:jc w:val="center"/>
        <w:rPr>
          <w:rFonts w:ascii="宋体" w:hAnsi="宋体" w:cs="宋体"/>
          <w:b/>
          <w:bCs/>
          <w:sz w:val="70"/>
          <w:szCs w:val="70"/>
        </w:rPr>
      </w:pPr>
      <w:r>
        <w:rPr>
          <w:rFonts w:ascii="宋体" w:hAnsi="宋体" w:cs="宋体" w:hint="eastAsia"/>
          <w:b/>
          <w:bCs/>
          <w:sz w:val="70"/>
          <w:szCs w:val="70"/>
        </w:rPr>
        <w:t>寻衅滋事</w:t>
      </w:r>
      <w:r w:rsidRPr="00911BD4">
        <w:rPr>
          <w:rFonts w:ascii="宋体" w:hAnsi="宋体" w:cs="宋体" w:hint="eastAsia"/>
          <w:b/>
          <w:bCs/>
          <w:sz w:val="70"/>
          <w:szCs w:val="70"/>
        </w:rPr>
        <w:t>案件</w:t>
      </w:r>
      <w:r>
        <w:rPr>
          <w:rFonts w:ascii="宋体" w:hAnsi="宋体" w:cs="宋体" w:hint="eastAsia"/>
          <w:b/>
          <w:bCs/>
          <w:sz w:val="70"/>
          <w:szCs w:val="70"/>
        </w:rPr>
        <w:t>审判</w:t>
      </w:r>
      <w:r w:rsidRPr="00911BD4">
        <w:rPr>
          <w:rFonts w:ascii="宋体" w:hAnsi="宋体" w:cs="宋体" w:hint="eastAsia"/>
          <w:b/>
          <w:bCs/>
          <w:sz w:val="70"/>
          <w:szCs w:val="70"/>
        </w:rPr>
        <w:t>白皮书</w:t>
      </w:r>
    </w:p>
    <w:p w:rsidR="00836ED7" w:rsidRPr="008005C9" w:rsidRDefault="00836ED7" w:rsidP="00836ED7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XUNXIN ZISHI</w:t>
      </w:r>
      <w:r w:rsidRPr="008005C9">
        <w:rPr>
          <w:rFonts w:ascii="仿宋" w:eastAsia="仿宋" w:hAnsi="仿宋" w:cs="仿宋" w:hint="eastAsia"/>
          <w:sz w:val="36"/>
          <w:szCs w:val="36"/>
        </w:rPr>
        <w:t xml:space="preserve"> ANJIAN SHENPAN BAIPISHU</w:t>
      </w:r>
    </w:p>
    <w:p w:rsidR="00836ED7" w:rsidRPr="00C1544D" w:rsidRDefault="00836ED7" w:rsidP="00836ED7">
      <w:pPr>
        <w:jc w:val="center"/>
        <w:rPr>
          <w:rFonts w:ascii="仿宋" w:eastAsia="仿宋" w:hAnsi="仿宋" w:cs="仿宋"/>
          <w:sz w:val="44"/>
          <w:szCs w:val="44"/>
        </w:rPr>
      </w:pPr>
      <w:r w:rsidRPr="00C1544D">
        <w:rPr>
          <w:rFonts w:ascii="仿宋" w:eastAsia="仿宋" w:hAnsi="仿宋" w:cs="仿宋" w:hint="eastAsia"/>
          <w:sz w:val="44"/>
          <w:szCs w:val="44"/>
        </w:rPr>
        <w:t>（2014-</w:t>
      </w:r>
      <w:bookmarkStart w:id="0" w:name="_GoBack"/>
      <w:bookmarkEnd w:id="0"/>
      <w:r w:rsidRPr="00C1544D">
        <w:rPr>
          <w:rFonts w:ascii="仿宋" w:eastAsia="仿宋" w:hAnsi="仿宋" w:cs="仿宋" w:hint="eastAsia"/>
          <w:sz w:val="44"/>
          <w:szCs w:val="44"/>
        </w:rPr>
        <w:t>2019）</w:t>
      </w:r>
    </w:p>
    <w:p w:rsidR="00836ED7" w:rsidRDefault="00836ED7" w:rsidP="00836ED7">
      <w:pPr>
        <w:jc w:val="center"/>
        <w:rPr>
          <w:rFonts w:ascii="仿宋" w:eastAsia="仿宋" w:hAnsi="仿宋" w:cs="仿宋"/>
          <w:sz w:val="52"/>
          <w:szCs w:val="52"/>
        </w:rPr>
      </w:pPr>
    </w:p>
    <w:p w:rsidR="00836ED7" w:rsidRDefault="00836ED7" w:rsidP="00836ED7">
      <w:pPr>
        <w:jc w:val="center"/>
        <w:rPr>
          <w:rFonts w:ascii="仿宋" w:eastAsia="仿宋" w:hAnsi="仿宋" w:cs="仿宋"/>
          <w:sz w:val="52"/>
          <w:szCs w:val="52"/>
        </w:rPr>
      </w:pPr>
    </w:p>
    <w:p w:rsidR="00836ED7" w:rsidRDefault="00836ED7" w:rsidP="00836ED7">
      <w:pPr>
        <w:jc w:val="center"/>
        <w:rPr>
          <w:rFonts w:ascii="仿宋" w:eastAsia="仿宋" w:hAnsi="仿宋" w:cs="仿宋"/>
          <w:sz w:val="52"/>
          <w:szCs w:val="52"/>
        </w:rPr>
      </w:pPr>
    </w:p>
    <w:p w:rsidR="00836ED7" w:rsidRDefault="00836ED7" w:rsidP="00836ED7">
      <w:pPr>
        <w:jc w:val="center"/>
        <w:rPr>
          <w:rFonts w:ascii="仿宋" w:eastAsia="仿宋" w:hAnsi="仿宋" w:cs="仿宋"/>
          <w:sz w:val="52"/>
          <w:szCs w:val="52"/>
        </w:rPr>
      </w:pPr>
    </w:p>
    <w:p w:rsidR="00836ED7" w:rsidRDefault="00836ED7" w:rsidP="00836ED7">
      <w:pPr>
        <w:jc w:val="center"/>
        <w:rPr>
          <w:rFonts w:ascii="仿宋" w:eastAsia="仿宋" w:hAnsi="仿宋" w:cs="仿宋"/>
          <w:sz w:val="52"/>
          <w:szCs w:val="52"/>
        </w:rPr>
      </w:pPr>
    </w:p>
    <w:p w:rsidR="00836ED7" w:rsidRDefault="00836ED7" w:rsidP="00836ED7">
      <w:pPr>
        <w:jc w:val="center"/>
        <w:rPr>
          <w:rFonts w:ascii="仿宋" w:eastAsia="仿宋" w:hAnsi="仿宋" w:cs="仿宋"/>
          <w:sz w:val="52"/>
          <w:szCs w:val="52"/>
        </w:rPr>
      </w:pPr>
    </w:p>
    <w:p w:rsidR="00836ED7" w:rsidRDefault="00836ED7" w:rsidP="00836ED7">
      <w:pPr>
        <w:jc w:val="center"/>
        <w:rPr>
          <w:rFonts w:ascii="仿宋" w:eastAsia="仿宋" w:hAnsi="仿宋" w:cs="仿宋"/>
          <w:sz w:val="52"/>
          <w:szCs w:val="52"/>
        </w:rPr>
      </w:pPr>
    </w:p>
    <w:p w:rsidR="00836ED7" w:rsidRPr="00911BD4" w:rsidRDefault="00836ED7" w:rsidP="00836ED7">
      <w:pPr>
        <w:jc w:val="center"/>
        <w:rPr>
          <w:rFonts w:ascii="楷体" w:eastAsia="楷体" w:hAnsi="楷体" w:cs="仿宋"/>
          <w:b/>
          <w:sz w:val="48"/>
          <w:szCs w:val="48"/>
        </w:rPr>
      </w:pPr>
      <w:r w:rsidRPr="00911BD4">
        <w:rPr>
          <w:rFonts w:ascii="楷体" w:eastAsia="楷体" w:hAnsi="楷体" w:cs="仿宋" w:hint="eastAsia"/>
          <w:b/>
          <w:sz w:val="48"/>
          <w:szCs w:val="48"/>
        </w:rPr>
        <w:t>磐石市人民法院</w:t>
      </w:r>
    </w:p>
    <w:p w:rsidR="00836ED7" w:rsidRPr="00911BD4" w:rsidRDefault="00836ED7" w:rsidP="00836ED7">
      <w:pPr>
        <w:jc w:val="center"/>
        <w:rPr>
          <w:rFonts w:ascii="楷体" w:eastAsia="楷体" w:hAnsi="楷体" w:cs="仿宋"/>
          <w:sz w:val="52"/>
          <w:szCs w:val="52"/>
        </w:rPr>
      </w:pPr>
    </w:p>
    <w:p w:rsidR="003B18E7" w:rsidRDefault="003B18E7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sz w:val="44"/>
          <w:szCs w:val="44"/>
        </w:rPr>
        <w:sectPr w:rsidR="003B18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Start w:id="1" w:name="_Toc529439987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4"/>
          <w:lang w:val="zh-CN"/>
        </w:rPr>
        <w:id w:val="-2024310769"/>
        <w:docPartObj>
          <w:docPartGallery w:val="Table of Contents"/>
          <w:docPartUnique/>
        </w:docPartObj>
      </w:sdtPr>
      <w:sdtEndPr>
        <w:rPr>
          <w:rFonts w:ascii="仿宋" w:eastAsia="仿宋" w:hAnsi="仿宋"/>
          <w:sz w:val="28"/>
          <w:szCs w:val="28"/>
        </w:rPr>
      </w:sdtEndPr>
      <w:sdtContent>
        <w:p w:rsidR="008F6502" w:rsidRPr="004E20A0" w:rsidRDefault="008F6502" w:rsidP="008F6502">
          <w:pPr>
            <w:pStyle w:val="TOC"/>
            <w:jc w:val="center"/>
            <w:rPr>
              <w:color w:val="auto"/>
              <w:sz w:val="36"/>
              <w:szCs w:val="36"/>
            </w:rPr>
          </w:pPr>
          <w:r w:rsidRPr="004E20A0">
            <w:rPr>
              <w:color w:val="auto"/>
              <w:sz w:val="36"/>
              <w:szCs w:val="36"/>
              <w:lang w:val="zh-CN"/>
            </w:rPr>
            <w:t>目</w:t>
          </w:r>
          <w:r w:rsidRPr="004E20A0">
            <w:rPr>
              <w:rFonts w:hint="eastAsia"/>
              <w:color w:val="auto"/>
              <w:sz w:val="36"/>
              <w:szCs w:val="36"/>
              <w:lang w:val="zh-CN"/>
            </w:rPr>
            <w:t xml:space="preserve">  </w:t>
          </w:r>
          <w:r w:rsidRPr="004E20A0">
            <w:rPr>
              <w:color w:val="auto"/>
              <w:sz w:val="36"/>
              <w:szCs w:val="36"/>
              <w:lang w:val="zh-CN"/>
            </w:rPr>
            <w:t>录</w:t>
          </w:r>
        </w:p>
        <w:p w:rsidR="00684983" w:rsidRPr="00C1544D" w:rsidRDefault="008F6502">
          <w:pPr>
            <w:pStyle w:val="10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r w:rsidRPr="00C1544D">
            <w:rPr>
              <w:rFonts w:ascii="仿宋" w:eastAsia="仿宋" w:hAnsi="仿宋"/>
              <w:sz w:val="30"/>
              <w:szCs w:val="30"/>
            </w:rPr>
            <w:fldChar w:fldCharType="begin"/>
          </w:r>
          <w:r w:rsidRPr="00C1544D">
            <w:rPr>
              <w:rFonts w:ascii="仿宋" w:eastAsia="仿宋" w:hAnsi="仿宋"/>
              <w:sz w:val="30"/>
              <w:szCs w:val="30"/>
            </w:rPr>
            <w:instrText xml:space="preserve"> TOC \o "1-3" \h \z \u </w:instrText>
          </w:r>
          <w:r w:rsidRPr="00C1544D">
            <w:rPr>
              <w:rFonts w:ascii="仿宋" w:eastAsia="仿宋" w:hAnsi="仿宋"/>
              <w:sz w:val="30"/>
              <w:szCs w:val="30"/>
            </w:rPr>
            <w:fldChar w:fldCharType="separate"/>
          </w:r>
          <w:hyperlink w:anchor="_Toc20126856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noProof/>
                <w:sz w:val="30"/>
                <w:szCs w:val="30"/>
              </w:rPr>
              <w:t>前言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_Toc20126856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3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10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57" w:history="1"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一、</w:t>
            </w:r>
            <w:r w:rsidR="00684983" w:rsidRPr="00C1544D">
              <w:rPr>
                <w:rStyle w:val="a7"/>
                <w:rFonts w:ascii="仿宋" w:eastAsia="仿宋" w:hAnsi="仿宋" w:cs="黑体"/>
                <w:b/>
                <w:bCs/>
                <w:noProof/>
                <w:sz w:val="30"/>
                <w:szCs w:val="30"/>
              </w:rPr>
              <w:t>2014</w:t>
            </w:r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年</w:t>
            </w:r>
            <w:r w:rsidR="00684983" w:rsidRPr="00C1544D">
              <w:rPr>
                <w:rStyle w:val="a7"/>
                <w:rFonts w:ascii="仿宋" w:eastAsia="仿宋" w:hAnsi="仿宋" w:cs="黑体"/>
                <w:b/>
                <w:bCs/>
                <w:noProof/>
                <w:sz w:val="30"/>
                <w:szCs w:val="30"/>
              </w:rPr>
              <w:t>1</w:t>
            </w:r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月</w:t>
            </w:r>
            <w:r w:rsidR="00684983" w:rsidRPr="00C1544D">
              <w:rPr>
                <w:rStyle w:val="a7"/>
                <w:rFonts w:ascii="仿宋" w:eastAsia="仿宋" w:hAnsi="仿宋" w:cs="黑体"/>
                <w:b/>
                <w:bCs/>
                <w:noProof/>
                <w:sz w:val="30"/>
                <w:szCs w:val="30"/>
              </w:rPr>
              <w:t>-2019</w:t>
            </w:r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年</w:t>
            </w:r>
            <w:r w:rsidR="00684983" w:rsidRPr="00C1544D">
              <w:rPr>
                <w:rStyle w:val="a7"/>
                <w:rFonts w:ascii="仿宋" w:eastAsia="仿宋" w:hAnsi="仿宋" w:cs="黑体"/>
                <w:b/>
                <w:bCs/>
                <w:noProof/>
                <w:sz w:val="30"/>
                <w:szCs w:val="30"/>
              </w:rPr>
              <w:t>9</w:t>
            </w:r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月刑事案件审理基本情况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_Toc20126857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4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58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（一）</w:t>
            </w:r>
            <w:r w:rsidR="00684983" w:rsidRPr="00C1544D">
              <w:rPr>
                <w:rStyle w:val="a7"/>
                <w:rFonts w:ascii="仿宋" w:eastAsia="仿宋" w:hAnsi="仿宋" w:cs="仿宋"/>
                <w:b/>
                <w:bCs/>
                <w:noProof/>
                <w:sz w:val="30"/>
                <w:szCs w:val="30"/>
              </w:rPr>
              <w:t>2014</w:t>
            </w:r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年基本情况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_Toc20126858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4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59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（二）</w:t>
            </w:r>
            <w:r w:rsidR="00684983" w:rsidRPr="00C1544D">
              <w:rPr>
                <w:rStyle w:val="a7"/>
                <w:rFonts w:ascii="仿宋" w:eastAsia="仿宋" w:hAnsi="仿宋" w:cs="仿宋"/>
                <w:b/>
                <w:bCs/>
                <w:noProof/>
                <w:sz w:val="30"/>
                <w:szCs w:val="30"/>
              </w:rPr>
              <w:t>2015</w:t>
            </w:r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年基本情况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_Toc20126859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4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0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（三）</w:t>
            </w:r>
            <w:r w:rsidR="00684983" w:rsidRPr="00C1544D">
              <w:rPr>
                <w:rStyle w:val="a7"/>
                <w:rFonts w:ascii="仿宋" w:eastAsia="仿宋" w:hAnsi="仿宋" w:cs="仿宋"/>
                <w:b/>
                <w:bCs/>
                <w:noProof/>
                <w:sz w:val="30"/>
                <w:szCs w:val="30"/>
              </w:rPr>
              <w:t>2016</w:t>
            </w:r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年基本情况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_Toc20126860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5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1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（四）</w:t>
            </w:r>
            <w:r w:rsidR="00684983" w:rsidRPr="00C1544D">
              <w:rPr>
                <w:rStyle w:val="a7"/>
                <w:rFonts w:ascii="仿宋" w:eastAsia="仿宋" w:hAnsi="仿宋" w:cs="仿宋"/>
                <w:b/>
                <w:bCs/>
                <w:noProof/>
                <w:sz w:val="30"/>
                <w:szCs w:val="30"/>
              </w:rPr>
              <w:t>2017</w:t>
            </w:r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年基本情况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_Toc20126861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5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2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（五）</w:t>
            </w:r>
            <w:r w:rsidR="00684983" w:rsidRPr="00C1544D">
              <w:rPr>
                <w:rStyle w:val="a7"/>
                <w:rFonts w:ascii="仿宋" w:eastAsia="仿宋" w:hAnsi="仿宋" w:cs="仿宋"/>
                <w:b/>
                <w:bCs/>
                <w:noProof/>
                <w:sz w:val="30"/>
                <w:szCs w:val="30"/>
              </w:rPr>
              <w:t>2018</w:t>
            </w:r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年基本情况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_Toc20126862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6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3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（六）</w:t>
            </w:r>
            <w:r w:rsidR="00684983" w:rsidRPr="00C1544D">
              <w:rPr>
                <w:rStyle w:val="a7"/>
                <w:rFonts w:ascii="仿宋" w:eastAsia="仿宋" w:hAnsi="仿宋" w:cs="仿宋"/>
                <w:b/>
                <w:bCs/>
                <w:noProof/>
                <w:sz w:val="30"/>
                <w:szCs w:val="30"/>
              </w:rPr>
              <w:t>2019</w:t>
            </w:r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年基本情况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_Toc20126863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6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10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4" w:history="1"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二、当前寻衅滋事犯罪案件的特点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_Toc20126864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8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5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（一）从人员结构上看，无职业低学历趋势明显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_Toc20126865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8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6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（二）从作案地点上看，公共场所案件多发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_Toc20126866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8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7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（三）从案件起因上看，酗酒滋事临时报复居多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_Toc20126867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8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8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（四）从作案形式上看，共同犯罪占有一定比例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_Toc20126868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9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10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69" w:history="1"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三、寻衅滋事犯罪案件原因分析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_Toc20126869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9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0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（一）犯罪主体法律意识低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_Toc20126870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9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1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（二）缺乏吃苦耐劳的精神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_Toc20126871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9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2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（三）重点场所管控不到位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_Toc20126872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10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3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（四）打击惩治未形成合力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_Toc20126873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10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10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4" w:history="1">
            <w:r w:rsidR="00684983" w:rsidRPr="00C1544D">
              <w:rPr>
                <w:rStyle w:val="a7"/>
                <w:rFonts w:ascii="仿宋" w:eastAsia="仿宋" w:hAnsi="仿宋" w:cs="黑体" w:hint="eastAsia"/>
                <w:b/>
                <w:bCs/>
                <w:noProof/>
                <w:sz w:val="30"/>
                <w:szCs w:val="30"/>
              </w:rPr>
              <w:t>四、对策建议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_Toc20126874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10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5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（一）加强法治宣传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_Toc20126875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10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6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（二）拓宽就业渠道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_Toc20126876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11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7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（三）突出防控重点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_Toc20126877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11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84983" w:rsidRPr="00C1544D" w:rsidRDefault="00C1544D">
          <w:pPr>
            <w:pStyle w:val="2"/>
            <w:tabs>
              <w:tab w:val="right" w:leader="dot" w:pos="8296"/>
            </w:tabs>
            <w:rPr>
              <w:rFonts w:ascii="仿宋" w:eastAsia="仿宋" w:hAnsi="仿宋"/>
              <w:noProof/>
              <w:sz w:val="30"/>
              <w:szCs w:val="30"/>
            </w:rPr>
          </w:pPr>
          <w:hyperlink w:anchor="_Toc20126878" w:history="1">
            <w:r w:rsidR="00684983" w:rsidRPr="00C1544D">
              <w:rPr>
                <w:rStyle w:val="a7"/>
                <w:rFonts w:ascii="仿宋" w:eastAsia="仿宋" w:hAnsi="仿宋" w:cs="仿宋" w:hint="eastAsia"/>
                <w:b/>
                <w:bCs/>
                <w:noProof/>
                <w:sz w:val="30"/>
                <w:szCs w:val="30"/>
              </w:rPr>
              <w:t>（四）加大打击力度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ab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begin"/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instrText xml:space="preserve"> PAGEREF _Toc20126878 \h </w:instrTex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separate"/>
            </w:r>
            <w:r w:rsidR="009E34FD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t>11</w:t>
            </w:r>
            <w:r w:rsidR="00684983" w:rsidRPr="00C1544D">
              <w:rPr>
                <w:rFonts w:ascii="仿宋" w:eastAsia="仿宋" w:hAnsi="仿宋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4E20A0" w:rsidRPr="00C1544D" w:rsidRDefault="008F6502" w:rsidP="00592F54">
          <w:pPr>
            <w:spacing w:line="480" w:lineRule="exact"/>
            <w:rPr>
              <w:rFonts w:ascii="仿宋" w:eastAsia="仿宋" w:hAnsi="仿宋"/>
              <w:sz w:val="28"/>
              <w:szCs w:val="28"/>
            </w:rPr>
          </w:pPr>
          <w:r w:rsidRPr="00C1544D">
            <w:rPr>
              <w:rFonts w:ascii="仿宋" w:eastAsia="仿宋" w:hAnsi="仿宋"/>
              <w:b/>
              <w:bCs/>
              <w:sz w:val="30"/>
              <w:szCs w:val="30"/>
              <w:lang w:val="zh-CN"/>
            </w:rPr>
            <w:fldChar w:fldCharType="end"/>
          </w:r>
        </w:p>
      </w:sdtContent>
    </w:sdt>
    <w:p w:rsidR="0069666E" w:rsidRDefault="0069666E">
      <w:pPr>
        <w:widowControl/>
        <w:jc w:val="left"/>
        <w:rPr>
          <w:rFonts w:ascii="仿宋" w:eastAsia="仿宋" w:hAnsi="仿宋" w:cs="仿宋"/>
          <w:b/>
          <w:kern w:val="0"/>
          <w:sz w:val="44"/>
          <w:szCs w:val="44"/>
        </w:rPr>
      </w:pPr>
      <w:bookmarkStart w:id="2" w:name="_Toc529440173"/>
      <w:bookmarkStart w:id="3" w:name="_Toc529440533"/>
      <w:bookmarkStart w:id="4" w:name="_Toc20126856"/>
      <w:r>
        <w:rPr>
          <w:rFonts w:ascii="仿宋" w:eastAsia="仿宋" w:hAnsi="仿宋" w:cs="仿宋"/>
          <w:b/>
          <w:sz w:val="44"/>
          <w:szCs w:val="44"/>
        </w:rPr>
        <w:br w:type="page"/>
      </w:r>
    </w:p>
    <w:p w:rsidR="0069666E" w:rsidRDefault="0069666E" w:rsidP="0069666E">
      <w:pPr>
        <w:pStyle w:val="a5"/>
        <w:widowControl/>
        <w:spacing w:beforeAutospacing="0" w:afterAutospacing="0"/>
        <w:outlineLvl w:val="0"/>
        <w:rPr>
          <w:rFonts w:ascii="仿宋" w:eastAsia="仿宋" w:hAnsi="仿宋" w:cs="仿宋"/>
          <w:b/>
          <w:sz w:val="44"/>
          <w:szCs w:val="44"/>
        </w:rPr>
      </w:pPr>
    </w:p>
    <w:p w:rsidR="003B18E7" w:rsidRPr="0069666E" w:rsidRDefault="00FF44FE">
      <w:pPr>
        <w:pStyle w:val="a5"/>
        <w:widowControl/>
        <w:spacing w:beforeAutospacing="0" w:afterAutospacing="0"/>
        <w:jc w:val="center"/>
        <w:outlineLvl w:val="0"/>
        <w:rPr>
          <w:rFonts w:ascii="仿宋" w:eastAsia="仿宋" w:hAnsi="仿宋" w:cs="仿宋"/>
          <w:b/>
          <w:sz w:val="44"/>
          <w:szCs w:val="44"/>
        </w:rPr>
      </w:pPr>
      <w:r w:rsidRPr="0069666E">
        <w:rPr>
          <w:rFonts w:ascii="仿宋" w:eastAsia="仿宋" w:hAnsi="仿宋" w:cs="仿宋" w:hint="eastAsia"/>
          <w:b/>
          <w:sz w:val="44"/>
          <w:szCs w:val="44"/>
        </w:rPr>
        <w:t>前言</w:t>
      </w:r>
      <w:bookmarkEnd w:id="2"/>
      <w:bookmarkEnd w:id="3"/>
      <w:bookmarkEnd w:id="4"/>
      <w:bookmarkEnd w:id="1"/>
    </w:p>
    <w:p w:rsidR="003B18E7" w:rsidRDefault="00063BCC" w:rsidP="00063BCC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 w:rsidRPr="00063BCC">
        <w:rPr>
          <w:rFonts w:ascii="仿宋" w:eastAsia="仿宋" w:hAnsi="仿宋" w:cs="宋体" w:hint="eastAsia"/>
          <w:sz w:val="32"/>
          <w:szCs w:val="32"/>
        </w:rPr>
        <w:t>寻衅滋事罪是指在公共场所无事生非、起哄闹事、殴打伤害无辜、肆意挑衅、横行霸道、毁坏财物、破坏公共秩序，情节严重的行为。寻衅滋事案件的发生，严重影响了社会公共秩序，影响了人民群众的生命和财产安全，给整个社会带来了不安定因素，阻碍了社会经济的快速发展，必须引起高度重视。</w:t>
      </w:r>
    </w:p>
    <w:p w:rsidR="008810A3" w:rsidRPr="00063BCC" w:rsidRDefault="008810A3" w:rsidP="00063BCC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为统计2014年1月-2019年9月</w:t>
      </w:r>
      <w:r w:rsidR="000338BD">
        <w:rPr>
          <w:rFonts w:ascii="仿宋" w:eastAsia="仿宋" w:hAnsi="仿宋" w:cs="宋体" w:hint="eastAsia"/>
          <w:sz w:val="32"/>
          <w:szCs w:val="32"/>
        </w:rPr>
        <w:t>寻衅滋事</w:t>
      </w:r>
      <w:r>
        <w:rPr>
          <w:rFonts w:ascii="仿宋" w:eastAsia="仿宋" w:hAnsi="仿宋" w:cs="宋体" w:hint="eastAsia"/>
          <w:sz w:val="32"/>
          <w:szCs w:val="32"/>
        </w:rPr>
        <w:t>案件相关数量情况，了解寻衅滋事</w:t>
      </w:r>
      <w:r w:rsidR="003D6864">
        <w:rPr>
          <w:rFonts w:ascii="仿宋" w:eastAsia="仿宋" w:hAnsi="仿宋" w:cs="宋体" w:hint="eastAsia"/>
          <w:sz w:val="32"/>
          <w:szCs w:val="32"/>
        </w:rPr>
        <w:t>犯罪</w:t>
      </w:r>
      <w:r>
        <w:rPr>
          <w:rFonts w:ascii="仿宋" w:eastAsia="仿宋" w:hAnsi="仿宋" w:cs="宋体" w:hint="eastAsia"/>
          <w:sz w:val="32"/>
          <w:szCs w:val="32"/>
        </w:rPr>
        <w:t>案件的特点，分析产生寻衅滋事</w:t>
      </w:r>
      <w:r w:rsidR="003D6864">
        <w:rPr>
          <w:rFonts w:ascii="仿宋" w:eastAsia="仿宋" w:hAnsi="仿宋" w:cs="宋体" w:hint="eastAsia"/>
          <w:sz w:val="32"/>
          <w:szCs w:val="32"/>
        </w:rPr>
        <w:t>犯罪</w:t>
      </w:r>
      <w:r>
        <w:rPr>
          <w:rFonts w:ascii="仿宋" w:eastAsia="仿宋" w:hAnsi="仿宋" w:cs="宋体" w:hint="eastAsia"/>
          <w:sz w:val="32"/>
          <w:szCs w:val="32"/>
        </w:rPr>
        <w:t>案件的原因，</w:t>
      </w:r>
      <w:r w:rsidR="003D6864">
        <w:rPr>
          <w:rFonts w:ascii="仿宋" w:eastAsia="仿宋" w:hAnsi="仿宋" w:cs="宋体" w:hint="eastAsia"/>
          <w:sz w:val="32"/>
          <w:szCs w:val="32"/>
        </w:rPr>
        <w:t>分享预防寻衅滋事案件的对策建议，特发布本白皮书。</w:t>
      </w:r>
    </w:p>
    <w:p w:rsidR="0069666E" w:rsidRPr="0069666E" w:rsidRDefault="0069666E" w:rsidP="0069666E">
      <w:pPr>
        <w:widowControl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bookmarkStart w:id="5" w:name="_Toc529439988"/>
      <w:bookmarkStart w:id="6" w:name="_Toc529440174"/>
      <w:bookmarkStart w:id="7" w:name="_Toc529440534"/>
      <w:bookmarkStart w:id="8" w:name="_Toc20126857"/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:rsidR="003B18E7" w:rsidRDefault="00FF44FE">
      <w:pPr>
        <w:pStyle w:val="a5"/>
        <w:widowControl/>
        <w:spacing w:beforeAutospacing="0" w:afterAutospacing="0"/>
        <w:ind w:firstLineChars="200" w:firstLine="643"/>
        <w:jc w:val="both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一、2014年1月-201</w:t>
      </w:r>
      <w:r w:rsidR="00943F48">
        <w:rPr>
          <w:rFonts w:ascii="黑体" w:eastAsia="黑体" w:hAnsi="黑体" w:cs="黑体" w:hint="eastAsia"/>
          <w:b/>
          <w:bCs/>
          <w:sz w:val="32"/>
          <w:szCs w:val="32"/>
        </w:rPr>
        <w:t>9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</w:t>
      </w:r>
      <w:r w:rsidR="00943F48">
        <w:rPr>
          <w:rFonts w:ascii="黑体" w:eastAsia="黑体" w:hAnsi="黑体" w:cs="黑体" w:hint="eastAsia"/>
          <w:b/>
          <w:bCs/>
          <w:sz w:val="32"/>
          <w:szCs w:val="32"/>
        </w:rPr>
        <w:t>9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月刑事案件审理基本情况</w:t>
      </w:r>
      <w:bookmarkEnd w:id="5"/>
      <w:bookmarkEnd w:id="6"/>
      <w:bookmarkEnd w:id="7"/>
      <w:bookmarkEnd w:id="8"/>
    </w:p>
    <w:p w:rsidR="003B18E7" w:rsidRDefault="00FF44F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</w:t>
      </w:r>
      <w:r w:rsidR="00063BCC">
        <w:rPr>
          <w:rFonts w:ascii="仿宋" w:eastAsia="仿宋" w:hAnsi="仿宋" w:hint="eastAsia"/>
          <w:sz w:val="32"/>
          <w:szCs w:val="32"/>
        </w:rPr>
        <w:t>寻衅滋事</w:t>
      </w:r>
      <w:r>
        <w:rPr>
          <w:rFonts w:ascii="仿宋" w:eastAsia="仿宋" w:hAnsi="仿宋" w:hint="eastAsia"/>
          <w:sz w:val="32"/>
          <w:szCs w:val="32"/>
        </w:rPr>
        <w:t>案件，我院2014年审理</w:t>
      </w:r>
      <w:r w:rsidR="00D76596">
        <w:rPr>
          <w:rFonts w:ascii="仿宋" w:eastAsia="仿宋" w:hAnsi="仿宋" w:hint="eastAsia"/>
          <w:sz w:val="32"/>
          <w:szCs w:val="32"/>
        </w:rPr>
        <w:t>5</w:t>
      </w:r>
      <w:r w:rsidR="00063BCC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，2015年审理</w:t>
      </w:r>
      <w:r w:rsidR="00D7659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D7659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2016年审理</w:t>
      </w:r>
      <w:r w:rsidR="00D7659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件，2017年审理</w:t>
      </w:r>
      <w:r w:rsidR="00D7659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4F4447">
        <w:rPr>
          <w:rFonts w:ascii="仿宋" w:eastAsia="仿宋" w:hAnsi="仿宋" w:hint="eastAsia"/>
          <w:sz w:val="32"/>
          <w:szCs w:val="32"/>
        </w:rPr>
        <w:t>2018年审理</w:t>
      </w:r>
      <w:r w:rsidR="00D76596">
        <w:rPr>
          <w:rFonts w:ascii="仿宋" w:eastAsia="仿宋" w:hAnsi="仿宋" w:hint="eastAsia"/>
          <w:sz w:val="32"/>
          <w:szCs w:val="32"/>
        </w:rPr>
        <w:t>6</w:t>
      </w:r>
      <w:r w:rsidR="004F4447">
        <w:rPr>
          <w:rFonts w:ascii="仿宋" w:eastAsia="仿宋" w:hAnsi="仿宋" w:hint="eastAsia"/>
          <w:sz w:val="32"/>
          <w:szCs w:val="32"/>
        </w:rPr>
        <w:t>件，</w:t>
      </w:r>
      <w:r w:rsidR="00746933">
        <w:rPr>
          <w:rFonts w:ascii="仿宋" w:eastAsia="仿宋" w:hAnsi="仿宋" w:hint="eastAsia"/>
          <w:sz w:val="32"/>
          <w:szCs w:val="32"/>
        </w:rPr>
        <w:t>2019年截止9月20日审理</w:t>
      </w:r>
      <w:r w:rsidR="00D76596">
        <w:rPr>
          <w:rFonts w:ascii="仿宋" w:eastAsia="仿宋" w:hAnsi="仿宋" w:hint="eastAsia"/>
          <w:sz w:val="32"/>
          <w:szCs w:val="32"/>
        </w:rPr>
        <w:t>5</w:t>
      </w:r>
      <w:r w:rsidR="00746933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C0AFC" w:rsidRDefault="00DC0AFC" w:rsidP="00DC0AFC">
      <w:pPr>
        <w:jc w:val="center"/>
        <w:rPr>
          <w:rFonts w:ascii="楷体" w:eastAsia="楷体" w:hAnsi="楷体"/>
          <w:b/>
          <w:bCs/>
          <w:sz w:val="24"/>
        </w:rPr>
      </w:pPr>
    </w:p>
    <w:p w:rsidR="00DC0AFC" w:rsidRPr="00DC0AFC" w:rsidRDefault="00DC0AFC" w:rsidP="00DC0AFC">
      <w:pPr>
        <w:jc w:val="center"/>
        <w:rPr>
          <w:rFonts w:ascii="楷体" w:eastAsia="楷体" w:hAnsi="楷体"/>
          <w:sz w:val="24"/>
        </w:rPr>
      </w:pPr>
      <w:r w:rsidRPr="00DC0AFC">
        <w:rPr>
          <w:rFonts w:ascii="楷体" w:eastAsia="楷体" w:hAnsi="楷体" w:hint="eastAsia"/>
          <w:b/>
          <w:bCs/>
          <w:sz w:val="24"/>
        </w:rPr>
        <w:t>2014年1月至2019年9月寻衅滋事案件审理情况</w:t>
      </w:r>
    </w:p>
    <w:p w:rsidR="004E20A0" w:rsidRPr="00441CC6" w:rsidRDefault="00E4006A" w:rsidP="00441CC6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0" distR="0" wp14:anchorId="344E08BC" wp14:editId="30B1D69C">
            <wp:extent cx="5457825" cy="2419350"/>
            <wp:effectExtent l="0" t="0" r="9525" b="1905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9" w:name="_Toc529439989"/>
      <w:bookmarkStart w:id="10" w:name="_Toc529440175"/>
      <w:bookmarkStart w:id="11" w:name="_Toc529440535"/>
    </w:p>
    <w:p w:rsidR="003B18E7" w:rsidRDefault="00FF44FE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12" w:name="_Toc20126858"/>
      <w:r>
        <w:rPr>
          <w:rFonts w:ascii="仿宋" w:eastAsia="仿宋" w:hAnsi="仿宋" w:cs="仿宋" w:hint="eastAsia"/>
          <w:b/>
          <w:bCs/>
          <w:sz w:val="32"/>
          <w:szCs w:val="32"/>
        </w:rPr>
        <w:t>（一）2014年基本情况</w:t>
      </w:r>
      <w:bookmarkEnd w:id="9"/>
      <w:bookmarkEnd w:id="10"/>
      <w:bookmarkEnd w:id="11"/>
      <w:bookmarkEnd w:id="12"/>
    </w:p>
    <w:p w:rsidR="003B18E7" w:rsidRDefault="00FF44FE" w:rsidP="00D76596">
      <w:pPr>
        <w:pStyle w:val="a5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 w:rsidR="00D76596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年共审理</w:t>
      </w:r>
      <w:r w:rsidR="00063BCC">
        <w:rPr>
          <w:rFonts w:ascii="仿宋" w:eastAsia="仿宋" w:hAnsi="仿宋" w:cs="仿宋" w:hint="eastAsia"/>
          <w:sz w:val="32"/>
          <w:szCs w:val="32"/>
        </w:rPr>
        <w:t>寻衅滋事</w:t>
      </w:r>
      <w:r>
        <w:rPr>
          <w:rFonts w:ascii="仿宋" w:eastAsia="仿宋" w:hAnsi="仿宋" w:cs="仿宋" w:hint="eastAsia"/>
          <w:sz w:val="32"/>
          <w:szCs w:val="32"/>
        </w:rPr>
        <w:t>案件</w:t>
      </w:r>
      <w:r w:rsidR="00D76596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件。</w:t>
      </w:r>
      <w:r w:rsidR="00D7659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名被告人中，高中及以上学历</w:t>
      </w:r>
      <w:r w:rsidR="00D76596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 w:rsidR="00063BCC">
        <w:rPr>
          <w:rFonts w:ascii="仿宋" w:eastAsia="仿宋" w:hAnsi="仿宋" w:cs="仿宋" w:hint="eastAsia"/>
          <w:sz w:val="32"/>
          <w:szCs w:val="32"/>
        </w:rPr>
        <w:t>初中学历</w:t>
      </w:r>
      <w:r w:rsidR="00D76596">
        <w:rPr>
          <w:rFonts w:ascii="仿宋" w:eastAsia="仿宋" w:hAnsi="仿宋" w:cs="仿宋" w:hint="eastAsia"/>
          <w:sz w:val="32"/>
          <w:szCs w:val="32"/>
        </w:rPr>
        <w:t>6</w:t>
      </w:r>
      <w:r w:rsidR="00063BCC"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；农民</w:t>
      </w:r>
      <w:r w:rsidR="00D7659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人，无职业者</w:t>
      </w:r>
      <w:r w:rsidR="00D76596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人，其他职业者</w:t>
      </w:r>
      <w:r w:rsidR="00D7659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 w:rsidR="00063BCC">
        <w:rPr>
          <w:rFonts w:ascii="仿宋" w:eastAsia="仿宋" w:hAnsi="仿宋" w:cs="仿宋" w:hint="eastAsia"/>
          <w:sz w:val="32"/>
          <w:szCs w:val="32"/>
        </w:rPr>
        <w:t>个人犯罪</w:t>
      </w:r>
      <w:r w:rsidR="00D76596">
        <w:rPr>
          <w:rFonts w:ascii="仿宋" w:eastAsia="仿宋" w:hAnsi="仿宋" w:cs="仿宋" w:hint="eastAsia"/>
          <w:sz w:val="32"/>
          <w:szCs w:val="32"/>
        </w:rPr>
        <w:t>2</w:t>
      </w:r>
      <w:r w:rsidR="00063BCC">
        <w:rPr>
          <w:rFonts w:ascii="仿宋" w:eastAsia="仿宋" w:hAnsi="仿宋" w:cs="仿宋" w:hint="eastAsia"/>
          <w:sz w:val="32"/>
          <w:szCs w:val="32"/>
        </w:rPr>
        <w:t>件，共同犯罪</w:t>
      </w:r>
      <w:r w:rsidR="00D76596">
        <w:rPr>
          <w:rFonts w:ascii="仿宋" w:eastAsia="仿宋" w:hAnsi="仿宋" w:cs="仿宋" w:hint="eastAsia"/>
          <w:sz w:val="32"/>
          <w:szCs w:val="32"/>
        </w:rPr>
        <w:t>3</w:t>
      </w:r>
      <w:r w:rsidR="00063BCC">
        <w:rPr>
          <w:rFonts w:ascii="仿宋" w:eastAsia="仿宋" w:hAnsi="仿宋" w:cs="仿宋" w:hint="eastAsia"/>
          <w:sz w:val="32"/>
          <w:szCs w:val="32"/>
        </w:rPr>
        <w:t>件。其中，案发地为消费娱乐场所</w:t>
      </w:r>
      <w:r w:rsidR="00D76596">
        <w:rPr>
          <w:rFonts w:ascii="仿宋" w:eastAsia="仿宋" w:hAnsi="仿宋" w:cs="仿宋" w:hint="eastAsia"/>
          <w:sz w:val="32"/>
          <w:szCs w:val="32"/>
        </w:rPr>
        <w:t>1</w:t>
      </w:r>
      <w:r w:rsidR="00063BCC">
        <w:rPr>
          <w:rFonts w:ascii="仿宋" w:eastAsia="仿宋" w:hAnsi="仿宋" w:cs="仿宋" w:hint="eastAsia"/>
          <w:sz w:val="32"/>
          <w:szCs w:val="32"/>
        </w:rPr>
        <w:t>件，</w:t>
      </w:r>
      <w:r w:rsidR="00D76596">
        <w:rPr>
          <w:rFonts w:ascii="仿宋" w:eastAsia="仿宋" w:hAnsi="仿宋" w:cs="仿宋" w:hint="eastAsia"/>
          <w:sz w:val="32"/>
          <w:szCs w:val="32"/>
        </w:rPr>
        <w:t>其他公共场所4件；</w:t>
      </w:r>
      <w:r w:rsidR="00063BCC">
        <w:rPr>
          <w:rFonts w:ascii="仿宋" w:eastAsia="仿宋" w:hAnsi="仿宋" w:cs="仿宋" w:hint="eastAsia"/>
          <w:sz w:val="32"/>
          <w:szCs w:val="32"/>
        </w:rPr>
        <w:t>因酗酒滋事</w:t>
      </w:r>
      <w:r w:rsidR="00D76596">
        <w:rPr>
          <w:rFonts w:ascii="仿宋" w:eastAsia="仿宋" w:hAnsi="仿宋" w:cs="仿宋" w:hint="eastAsia"/>
          <w:sz w:val="32"/>
          <w:szCs w:val="32"/>
        </w:rPr>
        <w:t>3</w:t>
      </w:r>
      <w:r w:rsidR="00063BCC">
        <w:rPr>
          <w:rFonts w:ascii="仿宋" w:eastAsia="仿宋" w:hAnsi="仿宋" w:cs="仿宋" w:hint="eastAsia"/>
          <w:sz w:val="32"/>
          <w:szCs w:val="32"/>
        </w:rPr>
        <w:t>件。</w:t>
      </w:r>
      <w:r>
        <w:rPr>
          <w:rFonts w:ascii="仿宋" w:eastAsia="仿宋" w:hAnsi="仿宋" w:cs="仿宋" w:hint="eastAsia"/>
          <w:sz w:val="32"/>
          <w:szCs w:val="32"/>
        </w:rPr>
        <w:t>造成被害人的伤害程度，轻伤</w:t>
      </w:r>
      <w:r w:rsidR="00D7659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</w:t>
      </w:r>
      <w:r w:rsidR="00D76596">
        <w:rPr>
          <w:rFonts w:ascii="仿宋" w:eastAsia="仿宋" w:hAnsi="仿宋" w:cs="仿宋" w:hint="eastAsia"/>
          <w:sz w:val="32"/>
          <w:szCs w:val="32"/>
        </w:rPr>
        <w:t>，轻微伤2人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="00D76596">
        <w:rPr>
          <w:rFonts w:ascii="仿宋" w:eastAsia="仿宋" w:hAnsi="仿宋" w:cs="仿宋" w:hint="eastAsia"/>
          <w:sz w:val="32"/>
          <w:szCs w:val="32"/>
        </w:rPr>
        <w:t>关于民事赔偿部分，通过调解达成和解协议的3件，自愿赔偿3名被害人各项损失24.7万元。</w:t>
      </w:r>
      <w:r>
        <w:rPr>
          <w:rFonts w:ascii="仿宋" w:eastAsia="仿宋" w:hAnsi="仿宋" w:cs="仿宋" w:hint="eastAsia"/>
          <w:sz w:val="32"/>
          <w:szCs w:val="32"/>
        </w:rPr>
        <w:t>根据案件事实和量刑情节，有</w:t>
      </w:r>
      <w:r w:rsidR="00D7659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名被告人依法适用非监禁刑，</w:t>
      </w:r>
      <w:r w:rsidR="00D76596">
        <w:rPr>
          <w:rFonts w:ascii="仿宋" w:eastAsia="仿宋" w:hAnsi="仿宋" w:cs="仿宋" w:hint="eastAsia"/>
          <w:sz w:val="32"/>
          <w:szCs w:val="32"/>
        </w:rPr>
        <w:t xml:space="preserve"> 4</w:t>
      </w:r>
      <w:r>
        <w:rPr>
          <w:rFonts w:ascii="仿宋" w:eastAsia="仿宋" w:hAnsi="仿宋" w:cs="仿宋" w:hint="eastAsia"/>
          <w:sz w:val="32"/>
          <w:szCs w:val="32"/>
        </w:rPr>
        <w:t>名被告人被判处三年以下有期徒刑，</w:t>
      </w:r>
      <w:r w:rsidR="00D76596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名被告人被判处三年以上有期徒刑。</w:t>
      </w:r>
    </w:p>
    <w:p w:rsidR="003B18E7" w:rsidRDefault="00FF44FE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13" w:name="_Toc529439990"/>
      <w:bookmarkStart w:id="14" w:name="_Toc529440176"/>
      <w:bookmarkStart w:id="15" w:name="_Toc529440536"/>
      <w:bookmarkStart w:id="16" w:name="_Toc20126859"/>
      <w:r>
        <w:rPr>
          <w:rFonts w:ascii="仿宋" w:eastAsia="仿宋" w:hAnsi="仿宋" w:cs="仿宋" w:hint="eastAsia"/>
          <w:b/>
          <w:bCs/>
          <w:sz w:val="32"/>
          <w:szCs w:val="32"/>
        </w:rPr>
        <w:t>（二）2015年基本情况</w:t>
      </w:r>
      <w:bookmarkEnd w:id="13"/>
      <w:bookmarkEnd w:id="14"/>
      <w:bookmarkEnd w:id="15"/>
      <w:bookmarkEnd w:id="16"/>
    </w:p>
    <w:p w:rsidR="003B18E7" w:rsidRDefault="00D76596" w:rsidP="00D76596">
      <w:pPr>
        <w:pStyle w:val="a5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2015年共审理寻衅滋事案件7件。10名被告人中，初中学历5人，小学学历2人，文盲3人；无职业者10人。个人犯罪3件，共同犯罪4件。其中，案发地为消费娱乐场所2件，其他公共场所4件；因酗酒滋事3件。造成被害人的伤害程度，重伤1人，轻伤4人。关于民事赔偿部分，通过调解达成和解协议的3件，自愿赔偿4名被害人各项损失12.532万元。根据案件事实和量刑情节，有2名被告人被免予刑事处罚，1名被告人依法适用非监禁刑，7名被告人被判处三年以下有期徒刑。</w:t>
      </w:r>
    </w:p>
    <w:p w:rsidR="003B18E7" w:rsidRDefault="00FF44FE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17" w:name="_Toc529439991"/>
      <w:bookmarkStart w:id="18" w:name="_Toc529440177"/>
      <w:bookmarkStart w:id="19" w:name="_Toc529440537"/>
      <w:bookmarkStart w:id="20" w:name="_Toc20126860"/>
      <w:r>
        <w:rPr>
          <w:rFonts w:ascii="仿宋" w:eastAsia="仿宋" w:hAnsi="仿宋" w:cs="仿宋" w:hint="eastAsia"/>
          <w:b/>
          <w:bCs/>
          <w:sz w:val="32"/>
          <w:szCs w:val="32"/>
        </w:rPr>
        <w:t>（三）2016年基本情况</w:t>
      </w:r>
      <w:bookmarkEnd w:id="17"/>
      <w:bookmarkEnd w:id="18"/>
      <w:bookmarkEnd w:id="19"/>
      <w:bookmarkEnd w:id="20"/>
    </w:p>
    <w:p w:rsidR="003B18E7" w:rsidRDefault="00D76596" w:rsidP="00D76596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2016年共审理寻衅滋事案件6件。9名被告人中，高中及以上学历3人，初中学历2人，小学学历2人，文盲2人；农民5人，无职业者3人，其他无职业者1人。个人犯罪5件，共同犯罪1件。其中，案发地为消费娱乐场所1件，其他公共场所5件；因酗酒滋事3件。造成被害人的伤害程度，轻伤1人，轻微伤5人。关于民事赔偿部分，通过调解达成和解协议的2件，自愿赔偿13名被害人各项损失11.3328万元。根据案件事实和量刑情节，有9名被告人被判处三年以下有期徒刑。</w:t>
      </w:r>
    </w:p>
    <w:p w:rsidR="003B18E7" w:rsidRDefault="00FF44FE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21" w:name="_Toc529439992"/>
      <w:bookmarkStart w:id="22" w:name="_Toc529440178"/>
      <w:bookmarkStart w:id="23" w:name="_Toc529440538"/>
      <w:bookmarkStart w:id="24" w:name="_Toc20126861"/>
      <w:r>
        <w:rPr>
          <w:rFonts w:ascii="仿宋" w:eastAsia="仿宋" w:hAnsi="仿宋" w:cs="仿宋" w:hint="eastAsia"/>
          <w:b/>
          <w:bCs/>
          <w:sz w:val="32"/>
          <w:szCs w:val="32"/>
        </w:rPr>
        <w:t>（四）2017年基本情况</w:t>
      </w:r>
      <w:bookmarkEnd w:id="21"/>
      <w:bookmarkEnd w:id="22"/>
      <w:bookmarkEnd w:id="23"/>
      <w:bookmarkEnd w:id="24"/>
    </w:p>
    <w:p w:rsidR="003B18E7" w:rsidRDefault="00D76596" w:rsidP="00D76596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2017年共审理寻衅滋事案件4件。9名被告人中，初中学历5人，小学学历3人，文盲1人；农民1人，无职业者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8人；未成年2人。个人犯罪1件，共同犯罪3件。其中，案发地为消费娱乐场所3件；因酗酒滋事3件。造成被害人的伤害程度，轻伤3人，轻微伤2人。关于民事赔偿部分，通过调解达成和解协议的2件，自愿赔偿2名被害人各项损失7万元。根据案件事实和量刑情节，有8名被告人被判处三年以下有期徒刑,1名被告人被判处三年以上有期徒刑。</w:t>
      </w:r>
    </w:p>
    <w:p w:rsidR="00FF44FE" w:rsidRDefault="00FF44FE" w:rsidP="00FF44FE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25" w:name="_Toc529439993"/>
      <w:bookmarkStart w:id="26" w:name="_Toc529440179"/>
      <w:bookmarkStart w:id="27" w:name="_Toc529440539"/>
      <w:bookmarkStart w:id="28" w:name="_Toc20126862"/>
      <w:r>
        <w:rPr>
          <w:rFonts w:ascii="仿宋" w:eastAsia="仿宋" w:hAnsi="仿宋" w:cs="仿宋" w:hint="eastAsia"/>
          <w:b/>
          <w:bCs/>
          <w:sz w:val="32"/>
          <w:szCs w:val="32"/>
        </w:rPr>
        <w:t>（五）2018年基本情况</w:t>
      </w:r>
      <w:bookmarkEnd w:id="25"/>
      <w:bookmarkEnd w:id="26"/>
      <w:bookmarkEnd w:id="27"/>
      <w:bookmarkEnd w:id="28"/>
    </w:p>
    <w:p w:rsidR="00746933" w:rsidRDefault="007F57C8" w:rsidP="007F57C8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2018年共审理寻衅滋事案件</w:t>
      </w:r>
      <w:r w:rsidR="004D5C9B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件。</w:t>
      </w:r>
      <w:r w:rsidR="004D5C9B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名被告人中，初中学历</w:t>
      </w:r>
      <w:r w:rsidR="004D5C9B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人，小学学历</w:t>
      </w:r>
      <w:r w:rsidR="004D5C9B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人；农民</w:t>
      </w:r>
      <w:r w:rsidR="004D5C9B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人，无职业者</w:t>
      </w:r>
      <w:r w:rsidR="004D5C9B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人。个人犯罪</w:t>
      </w:r>
      <w:r w:rsidR="004D5C9B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件，共同犯罪</w:t>
      </w:r>
      <w:r w:rsidR="004D5C9B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件。其中，案发地为消费娱乐场所</w:t>
      </w:r>
      <w:r w:rsidR="004D5C9B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</w:t>
      </w:r>
      <w:r w:rsidR="004D5C9B">
        <w:rPr>
          <w:rFonts w:ascii="仿宋" w:eastAsia="仿宋" w:hAnsi="仿宋" w:cs="仿宋" w:hint="eastAsia"/>
          <w:sz w:val="32"/>
          <w:szCs w:val="32"/>
        </w:rPr>
        <w:t>，其他公共场所3件</w:t>
      </w:r>
      <w:r>
        <w:rPr>
          <w:rFonts w:ascii="仿宋" w:eastAsia="仿宋" w:hAnsi="仿宋" w:cs="仿宋" w:hint="eastAsia"/>
          <w:sz w:val="32"/>
          <w:szCs w:val="32"/>
        </w:rPr>
        <w:t>；因酗酒滋事</w:t>
      </w:r>
      <w:r w:rsidR="004D5C9B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件。造成被害人的伤害程度，轻伤</w:t>
      </w:r>
      <w:r w:rsidR="004D5C9B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人，轻微伤</w:t>
      </w:r>
      <w:r w:rsidR="004D5C9B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人。关于民事赔偿部分，通过调解达成和解协议的2件，自愿赔偿</w:t>
      </w:r>
      <w:r w:rsidR="004D5C9B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名被害人各项损失</w:t>
      </w:r>
      <w:r w:rsidR="004D5C9B">
        <w:rPr>
          <w:rFonts w:ascii="仿宋" w:eastAsia="仿宋" w:hAnsi="仿宋" w:cs="仿宋" w:hint="eastAsia"/>
          <w:sz w:val="32"/>
          <w:szCs w:val="32"/>
        </w:rPr>
        <w:t>5.5</w:t>
      </w:r>
      <w:r>
        <w:rPr>
          <w:rFonts w:ascii="仿宋" w:eastAsia="仿宋" w:hAnsi="仿宋" w:cs="仿宋" w:hint="eastAsia"/>
          <w:sz w:val="32"/>
          <w:szCs w:val="32"/>
        </w:rPr>
        <w:t>万元。根据案件事实和量刑情节，有</w:t>
      </w:r>
      <w:r w:rsidR="004D5C9B">
        <w:rPr>
          <w:rFonts w:ascii="仿宋" w:eastAsia="仿宋" w:hAnsi="仿宋" w:cs="仿宋" w:hint="eastAsia"/>
          <w:sz w:val="32"/>
          <w:szCs w:val="32"/>
        </w:rPr>
        <w:t>1名被告人依法适用非监禁刑，4</w:t>
      </w:r>
      <w:r>
        <w:rPr>
          <w:rFonts w:ascii="仿宋" w:eastAsia="仿宋" w:hAnsi="仿宋" w:cs="仿宋" w:hint="eastAsia"/>
          <w:sz w:val="32"/>
          <w:szCs w:val="32"/>
        </w:rPr>
        <w:t>名被告人被判处三年以下有期徒刑,</w:t>
      </w:r>
      <w:r w:rsidR="004D5C9B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名被告人被判处三年以上有期徒刑。</w:t>
      </w:r>
    </w:p>
    <w:p w:rsidR="00746933" w:rsidRDefault="00746933" w:rsidP="0074693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29" w:name="_Toc20126863"/>
      <w:r>
        <w:rPr>
          <w:rFonts w:ascii="仿宋" w:eastAsia="仿宋" w:hAnsi="仿宋" w:cs="仿宋" w:hint="eastAsia"/>
          <w:b/>
          <w:bCs/>
          <w:sz w:val="32"/>
          <w:szCs w:val="32"/>
        </w:rPr>
        <w:t>（六）2019年基本情况</w:t>
      </w:r>
      <w:bookmarkEnd w:id="29"/>
    </w:p>
    <w:p w:rsidR="00746933" w:rsidRDefault="000C3948" w:rsidP="000C3948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截止到9月20日共审理寻衅滋事案件5件。12名被告人中，高中及以上学历2人，初中学历7人，小学学历4人；农民7人，无职业者6人。个人犯罪1件，共同犯罪4件。其中，案发地为消费娱乐场所3件，其他公共场所1件；因酗酒滋事2件。造成被害人的伤害程度，轻伤5人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轻微伤3人。关于民事赔偿部分，通过调解达成和解协议的4件，自愿赔偿8名被害人各项损失13.5万元。根据案件事实和量刑情节，有1名被告人被判处拘役，11名被告人被判处三年以下有期徒刑。</w:t>
      </w:r>
    </w:p>
    <w:p w:rsidR="001778C2" w:rsidRPr="000143E7" w:rsidRDefault="00903468" w:rsidP="00903468">
      <w:pPr>
        <w:pStyle w:val="a5"/>
        <w:widowControl/>
        <w:spacing w:beforeAutospacing="0" w:afterAutospacing="0"/>
        <w:jc w:val="center"/>
        <w:rPr>
          <w:rFonts w:ascii="楷体" w:eastAsia="楷体" w:hAnsi="楷体" w:cs="仿宋"/>
          <w:b/>
          <w:sz w:val="28"/>
          <w:szCs w:val="28"/>
        </w:rPr>
      </w:pPr>
      <w:r w:rsidRPr="000143E7">
        <w:rPr>
          <w:rFonts w:ascii="楷体" w:eastAsia="楷体" w:hAnsi="楷体" w:cs="仿宋" w:hint="eastAsia"/>
          <w:b/>
          <w:sz w:val="28"/>
          <w:szCs w:val="28"/>
        </w:rPr>
        <w:t>被告人</w:t>
      </w:r>
      <w:r w:rsidR="00B34C62" w:rsidRPr="000143E7">
        <w:rPr>
          <w:rFonts w:ascii="楷体" w:eastAsia="楷体" w:hAnsi="楷体" w:cs="仿宋" w:hint="eastAsia"/>
          <w:b/>
          <w:sz w:val="28"/>
          <w:szCs w:val="28"/>
        </w:rPr>
        <w:t>适用刑罚</w:t>
      </w:r>
      <w:r w:rsidRPr="000143E7">
        <w:rPr>
          <w:rFonts w:ascii="楷体" w:eastAsia="楷体" w:hAnsi="楷体" w:cs="仿宋" w:hint="eastAsia"/>
          <w:b/>
          <w:sz w:val="28"/>
          <w:szCs w:val="28"/>
        </w:rPr>
        <w:t>情况</w:t>
      </w:r>
    </w:p>
    <w:tbl>
      <w:tblPr>
        <w:tblStyle w:val="-2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074"/>
        <w:gridCol w:w="1134"/>
        <w:gridCol w:w="992"/>
        <w:gridCol w:w="993"/>
        <w:gridCol w:w="992"/>
        <w:gridCol w:w="1134"/>
        <w:gridCol w:w="973"/>
      </w:tblGrid>
      <w:tr w:rsidR="00903468" w:rsidRPr="000143E7" w:rsidTr="00F85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量刑情况</w:t>
            </w:r>
          </w:p>
        </w:tc>
        <w:tc>
          <w:tcPr>
            <w:tcW w:w="1074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2014年</w:t>
            </w: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2015年</w:t>
            </w:r>
          </w:p>
        </w:tc>
        <w:tc>
          <w:tcPr>
            <w:tcW w:w="992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2016年</w:t>
            </w:r>
          </w:p>
        </w:tc>
        <w:tc>
          <w:tcPr>
            <w:tcW w:w="993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992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973" w:type="dxa"/>
            <w:shd w:val="clear" w:color="auto" w:fill="C00000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903468" w:rsidRPr="000143E7" w:rsidTr="00DC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三年以上有期徒刑</w:t>
            </w:r>
          </w:p>
        </w:tc>
        <w:tc>
          <w:tcPr>
            <w:tcW w:w="10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903468" w:rsidRPr="000143E7" w:rsidTr="00DC0A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三年以下有期徒刑</w:t>
            </w:r>
          </w:p>
        </w:tc>
        <w:tc>
          <w:tcPr>
            <w:tcW w:w="1074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73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43</w:t>
            </w:r>
          </w:p>
        </w:tc>
      </w:tr>
      <w:tr w:rsidR="00903468" w:rsidRPr="000143E7" w:rsidTr="00DC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拘役</w:t>
            </w:r>
          </w:p>
        </w:tc>
        <w:tc>
          <w:tcPr>
            <w:tcW w:w="10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903468" w:rsidRPr="000143E7" w:rsidTr="00DC0A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非监禁刑</w:t>
            </w:r>
          </w:p>
        </w:tc>
        <w:tc>
          <w:tcPr>
            <w:tcW w:w="1074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903468" w:rsidRPr="000143E7" w:rsidTr="00DC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免于刑事处罚</w:t>
            </w:r>
          </w:p>
        </w:tc>
        <w:tc>
          <w:tcPr>
            <w:tcW w:w="10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3468" w:rsidRPr="000143E7" w:rsidRDefault="00903468" w:rsidP="009034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2C7654" w:rsidRPr="002C7654" w:rsidRDefault="002C7654" w:rsidP="002C7654">
      <w:pPr>
        <w:pStyle w:val="a5"/>
        <w:widowControl/>
        <w:spacing w:beforeAutospacing="0" w:afterAutospacing="0"/>
        <w:ind w:firstLineChars="200" w:firstLine="482"/>
        <w:jc w:val="both"/>
        <w:outlineLvl w:val="0"/>
        <w:rPr>
          <w:rFonts w:ascii="黑体" w:eastAsia="黑体" w:hAnsi="黑体" w:cs="黑体"/>
          <w:b/>
          <w:bCs/>
        </w:rPr>
      </w:pPr>
      <w:bookmarkStart w:id="30" w:name="_Toc20126864"/>
    </w:p>
    <w:p w:rsidR="000C3948" w:rsidRPr="00684983" w:rsidRDefault="000C3948" w:rsidP="002C7654">
      <w:pPr>
        <w:pStyle w:val="a5"/>
        <w:widowControl/>
        <w:spacing w:beforeAutospacing="0" w:afterAutospacing="0"/>
        <w:ind w:firstLineChars="200" w:firstLine="643"/>
        <w:jc w:val="both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 w:rsidRPr="00684983">
        <w:rPr>
          <w:rFonts w:ascii="黑体" w:eastAsia="黑体" w:hAnsi="黑体" w:cs="黑体" w:hint="eastAsia"/>
          <w:b/>
          <w:bCs/>
          <w:sz w:val="32"/>
          <w:szCs w:val="32"/>
        </w:rPr>
        <w:t>二、当前寻衅滋事犯罪案件的特点</w:t>
      </w:r>
      <w:bookmarkEnd w:id="30"/>
    </w:p>
    <w:p w:rsid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1" w:name="_Toc20126865"/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 w:rsidR="000C3948" w:rsidRPr="00684983">
        <w:rPr>
          <w:rFonts w:ascii="仿宋" w:eastAsia="仿宋" w:hAnsi="仿宋" w:cs="仿宋" w:hint="eastAsia"/>
          <w:b/>
          <w:bCs/>
          <w:sz w:val="32"/>
          <w:szCs w:val="32"/>
        </w:rPr>
        <w:t>从人员结构上看，无职业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低学历趋势明显</w:t>
      </w:r>
      <w:bookmarkEnd w:id="31"/>
    </w:p>
    <w:p w:rsidR="000C3948" w:rsidRDefault="000C3948" w:rsidP="000C3948">
      <w:pPr>
        <w:widowControl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84983">
        <w:rPr>
          <w:rFonts w:ascii="仿宋_GB2312" w:eastAsia="仿宋_GB2312" w:hAnsi="宋体" w:cs="宋体" w:hint="eastAsia"/>
          <w:kern w:val="0"/>
          <w:sz w:val="32"/>
          <w:szCs w:val="32"/>
        </w:rPr>
        <w:t>涉案人员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大多为无业人员，文化程度偏低。自2014年</w:t>
      </w:r>
      <w:r w:rsidR="00DC1485">
        <w:rPr>
          <w:rFonts w:ascii="仿宋_GB2312" w:eastAsia="仿宋_GB2312" w:hAnsi="宋体" w:cs="宋体" w:hint="eastAsia"/>
          <w:kern w:val="0"/>
          <w:sz w:val="32"/>
          <w:szCs w:val="32"/>
        </w:rPr>
        <w:t>至今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审理的33件54名被告中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高中及以上学历的仅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人，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占比11.11%</w:t>
      </w: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其余均为初中以下学历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FA2BC9">
        <w:rPr>
          <w:rFonts w:ascii="仿宋_GB2312" w:eastAsia="仿宋_GB2312" w:hAnsi="宋体" w:cs="宋体" w:hint="eastAsia"/>
          <w:kern w:val="0"/>
          <w:sz w:val="32"/>
          <w:szCs w:val="32"/>
        </w:rPr>
        <w:t>无职业者33人，占比61.11%。</w:t>
      </w:r>
    </w:p>
    <w:p w:rsidR="009E6FD1" w:rsidRPr="000143E7" w:rsidRDefault="009E6FD1" w:rsidP="009E6FD1">
      <w:pPr>
        <w:pStyle w:val="a5"/>
        <w:widowControl/>
        <w:spacing w:beforeAutospacing="0" w:afterAutospacing="0"/>
        <w:jc w:val="center"/>
        <w:rPr>
          <w:rFonts w:ascii="楷体" w:eastAsia="楷体" w:hAnsi="楷体" w:cs="仿宋"/>
          <w:b/>
          <w:sz w:val="28"/>
          <w:szCs w:val="28"/>
        </w:rPr>
      </w:pPr>
      <w:r w:rsidRPr="000143E7">
        <w:rPr>
          <w:rFonts w:ascii="楷体" w:eastAsia="楷体" w:hAnsi="楷体" w:cs="仿宋" w:hint="eastAsia"/>
          <w:b/>
          <w:sz w:val="28"/>
          <w:szCs w:val="28"/>
        </w:rPr>
        <w:t>被告人学历情况</w:t>
      </w:r>
    </w:p>
    <w:tbl>
      <w:tblPr>
        <w:tblStyle w:val="-1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063"/>
        <w:gridCol w:w="993"/>
        <w:gridCol w:w="992"/>
        <w:gridCol w:w="1001"/>
        <w:gridCol w:w="1027"/>
        <w:gridCol w:w="997"/>
        <w:gridCol w:w="716"/>
      </w:tblGrid>
      <w:tr w:rsidR="009E6FD1" w:rsidRPr="000143E7" w:rsidTr="00520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06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2014年</w:t>
            </w:r>
          </w:p>
        </w:tc>
        <w:tc>
          <w:tcPr>
            <w:tcW w:w="99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2015年</w:t>
            </w:r>
          </w:p>
        </w:tc>
        <w:tc>
          <w:tcPr>
            <w:tcW w:w="992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2016年</w:t>
            </w:r>
          </w:p>
        </w:tc>
        <w:tc>
          <w:tcPr>
            <w:tcW w:w="1001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1027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997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716" w:type="dxa"/>
            <w:vAlign w:val="center"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9E6FD1" w:rsidRPr="000143E7" w:rsidTr="00DC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9E6FD1" w:rsidRPr="000143E7" w:rsidTr="00DC0A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06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1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7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7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16" w:type="dxa"/>
            <w:vAlign w:val="center"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31</w:t>
            </w:r>
          </w:p>
        </w:tc>
      </w:tr>
      <w:tr w:rsidR="009E6FD1" w:rsidRPr="000143E7" w:rsidTr="00DC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9E6FD1" w:rsidRPr="000143E7" w:rsidTr="00DC0A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文盲</w:t>
            </w:r>
          </w:p>
        </w:tc>
        <w:tc>
          <w:tcPr>
            <w:tcW w:w="106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1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7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7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16" w:type="dxa"/>
            <w:vAlign w:val="center"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</w:tr>
    </w:tbl>
    <w:p w:rsidR="009E6FD1" w:rsidRPr="000143E7" w:rsidRDefault="009E6FD1" w:rsidP="009E6FD1">
      <w:pPr>
        <w:pStyle w:val="a5"/>
        <w:widowControl/>
        <w:spacing w:beforeAutospacing="0" w:afterAutospacing="0"/>
        <w:jc w:val="center"/>
        <w:rPr>
          <w:rFonts w:ascii="楷体" w:eastAsia="楷体" w:hAnsi="楷体" w:cs="仿宋"/>
          <w:b/>
          <w:sz w:val="28"/>
          <w:szCs w:val="28"/>
        </w:rPr>
      </w:pPr>
      <w:r w:rsidRPr="000143E7">
        <w:rPr>
          <w:rFonts w:ascii="楷体" w:eastAsia="楷体" w:hAnsi="楷体" w:cs="仿宋" w:hint="eastAsia"/>
          <w:b/>
          <w:sz w:val="28"/>
          <w:szCs w:val="28"/>
        </w:rPr>
        <w:lastRenderedPageBreak/>
        <w:t>被告人职业情况</w:t>
      </w:r>
    </w:p>
    <w:tbl>
      <w:tblPr>
        <w:tblStyle w:val="-6"/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161"/>
        <w:gridCol w:w="1134"/>
        <w:gridCol w:w="1134"/>
        <w:gridCol w:w="993"/>
        <w:gridCol w:w="1134"/>
        <w:gridCol w:w="992"/>
        <w:gridCol w:w="709"/>
      </w:tblGrid>
      <w:tr w:rsidR="009E6FD1" w:rsidRPr="000143E7" w:rsidTr="00520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职业情况</w:t>
            </w:r>
          </w:p>
        </w:tc>
        <w:tc>
          <w:tcPr>
            <w:tcW w:w="1161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2014年</w:t>
            </w:r>
          </w:p>
        </w:tc>
        <w:tc>
          <w:tcPr>
            <w:tcW w:w="1134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2015年</w:t>
            </w:r>
          </w:p>
        </w:tc>
        <w:tc>
          <w:tcPr>
            <w:tcW w:w="1134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2016年</w:t>
            </w:r>
          </w:p>
        </w:tc>
        <w:tc>
          <w:tcPr>
            <w:tcW w:w="99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1134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992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709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9E6FD1" w:rsidRPr="000143E7" w:rsidTr="00DC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农民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9E6FD1" w:rsidRPr="000143E7" w:rsidTr="00DC0A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无职业</w:t>
            </w:r>
          </w:p>
        </w:tc>
        <w:tc>
          <w:tcPr>
            <w:tcW w:w="1161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33</w:t>
            </w:r>
          </w:p>
        </w:tc>
      </w:tr>
      <w:tr w:rsidR="009E6FD1" w:rsidRPr="000143E7" w:rsidTr="00DC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其他职业者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E6FD1" w:rsidRPr="000143E7" w:rsidRDefault="009E6FD1" w:rsidP="005207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0143E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 w:rsidR="00684983" w:rsidRPr="00684983" w:rsidRDefault="00684983" w:rsidP="002C7654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2" w:name="_Toc20126866"/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="000C3948" w:rsidRPr="00684983">
        <w:rPr>
          <w:rFonts w:ascii="仿宋" w:eastAsia="仿宋" w:hAnsi="仿宋" w:cs="仿宋" w:hint="eastAsia"/>
          <w:b/>
          <w:bCs/>
          <w:sz w:val="32"/>
          <w:szCs w:val="32"/>
        </w:rPr>
        <w:t>从作案地点上看，</w:t>
      </w:r>
      <w:r w:rsidR="00FA2BC9" w:rsidRPr="00684983">
        <w:rPr>
          <w:rFonts w:ascii="仿宋" w:eastAsia="仿宋" w:hAnsi="仿宋" w:cs="仿宋" w:hint="eastAsia"/>
          <w:b/>
          <w:bCs/>
          <w:sz w:val="32"/>
          <w:szCs w:val="32"/>
        </w:rPr>
        <w:t>公共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场所案件多发</w:t>
      </w:r>
      <w:bookmarkEnd w:id="32"/>
    </w:p>
    <w:p w:rsidR="000C3948" w:rsidRDefault="00FA2BC9" w:rsidP="000C3948">
      <w:pPr>
        <w:widowControl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经统计，案发在酒吧、网吧、歌厅、饭店</w:t>
      </w:r>
      <w:r w:rsidR="000C3948"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等消费娱乐场所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以及马路街边等其他公共场所</w:t>
      </w:r>
      <w:r w:rsidR="000C3948"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的占比达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87.88</w:t>
      </w:r>
      <w:r w:rsidR="000C3948"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%。一是娱乐场所中人员构成复杂、流动频繁；二是进入饭店、KTV场所消费很可能会饮酒或遇到醉酒的人，在这样的状态下容易情绪失控而引发争执和打斗；三是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部分被告人为泄私愤，会选择马路街边等公共地点停放的车辆作为泄愤对象，对被害人造成经济损失</w:t>
      </w:r>
      <w:r w:rsidR="000C3948"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C7654" w:rsidRPr="001D5E30" w:rsidRDefault="002C7654" w:rsidP="002C7654">
      <w:pPr>
        <w:widowControl/>
        <w:spacing w:line="56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5276850" cy="2381250"/>
            <wp:effectExtent l="0" t="0" r="1905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3" w:name="_Toc20126867"/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（三）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从案件起因上看，酗酒滋事临时报复居多</w:t>
      </w:r>
      <w:bookmarkEnd w:id="33"/>
    </w:p>
    <w:p w:rsidR="000C3948" w:rsidRPr="001D5E30" w:rsidRDefault="000C3948" w:rsidP="000C3948">
      <w:pPr>
        <w:widowControl/>
        <w:spacing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有的是酒后情绪失控，在酒精的刺激下为所欲为，有的仅仅是与被害人无意发生身体碰撞而挑起事端，有的只是“看不顺眼”便实施殴打，还有的是因琐事发生口角或者为</w:t>
      </w: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争夺利益，不愿躲避或服输，不愿丢了面子，结果互不相让，尽可能压制对方，企图迫使另一方</w:t>
      </w:r>
      <w:proofErr w:type="gramStart"/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让步，甚至携带刀棍等凶器打砸报复，以示威风。</w:t>
      </w:r>
    </w:p>
    <w:p w:rsid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4" w:name="_Toc20126868"/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（四）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从作案形式上看，共同犯罪占有一定比例</w:t>
      </w:r>
      <w:bookmarkEnd w:id="34"/>
    </w:p>
    <w:p w:rsidR="00B94190" w:rsidRDefault="000C3948" w:rsidP="00B94190">
      <w:pPr>
        <w:widowControl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84983">
        <w:rPr>
          <w:rFonts w:ascii="仿宋_GB2312" w:eastAsia="仿宋_GB2312" w:hAnsi="宋体" w:cs="宋体" w:hint="eastAsia"/>
          <w:kern w:val="0"/>
          <w:sz w:val="32"/>
          <w:szCs w:val="32"/>
        </w:rPr>
        <w:t>涉案</w:t>
      </w: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人员往往游手好闲，几人聚在一起惹事生非，又或者因江湖义气的心理，一名成员与他人发生矛盾后，纠集同伙打架斗殴。这类犯罪涉案人数多，容易导致较大的损害后果，社会影响恶劣。</w:t>
      </w:r>
    </w:p>
    <w:p w:rsidR="009E6FD1" w:rsidRPr="009E6FD1" w:rsidRDefault="009E6FD1" w:rsidP="009E6FD1">
      <w:pPr>
        <w:widowControl/>
        <w:spacing w:line="560" w:lineRule="atLeas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305EF058" wp14:editId="453725CD">
            <wp:extent cx="5274310" cy="2599749"/>
            <wp:effectExtent l="0" t="0" r="21590" b="1016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7454" w:rsidRDefault="000D7454" w:rsidP="00684983">
      <w:pPr>
        <w:pStyle w:val="a5"/>
        <w:widowControl/>
        <w:spacing w:beforeAutospacing="0" w:afterAutospacing="0"/>
        <w:ind w:firstLineChars="200" w:firstLine="643"/>
        <w:jc w:val="both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35" w:name="_Toc20126869"/>
    </w:p>
    <w:p w:rsidR="000C3948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 w:rsidR="000C3948" w:rsidRPr="00684983">
        <w:rPr>
          <w:rFonts w:ascii="黑体" w:eastAsia="黑体" w:hAnsi="黑体" w:cs="黑体" w:hint="eastAsia"/>
          <w:b/>
          <w:bCs/>
          <w:sz w:val="32"/>
          <w:szCs w:val="32"/>
        </w:rPr>
        <w:t>、寻衅滋事犯罪案件原因分析</w:t>
      </w:r>
      <w:bookmarkEnd w:id="35"/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6" w:name="_Toc20126870"/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犯罪主体法律意识低</w:t>
      </w:r>
      <w:bookmarkEnd w:id="36"/>
    </w:p>
    <w:p w:rsidR="000C3948" w:rsidRPr="001D5E30" w:rsidRDefault="000C3948" w:rsidP="000C3948">
      <w:pPr>
        <w:widowControl/>
        <w:spacing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犯罪主体大多为30岁以下的年青人，文化水平不高，自控能力不强，容易意气用事，错误地认为打打闹闹并未构成犯罪，以为只要没把人打残或打死就没什么事儿。</w:t>
      </w:r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7" w:name="_Toc20126871"/>
      <w:r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缺乏吃苦耐劳的精神</w:t>
      </w:r>
      <w:bookmarkEnd w:id="37"/>
    </w:p>
    <w:p w:rsidR="000C3948" w:rsidRPr="001D5E30" w:rsidRDefault="000C3948" w:rsidP="000C3948">
      <w:pPr>
        <w:widowControl/>
        <w:spacing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部分年青人辍学或初中毕业后，因好逸恶劳，不愿接受职业培训，未能掌握谋生的一技之长，没有稳定、正当的职业，加之家庭的监管、教育不力，对个人形象、社会评价要求不高，终日三五成群，容易为一点小摩擦大打出手，从而滋生犯罪。</w:t>
      </w:r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8" w:name="_Toc20126872"/>
      <w:r>
        <w:rPr>
          <w:rFonts w:ascii="仿宋" w:eastAsia="仿宋" w:hAnsi="仿宋" w:cs="仿宋" w:hint="eastAsia"/>
          <w:b/>
          <w:bCs/>
          <w:sz w:val="32"/>
          <w:szCs w:val="32"/>
        </w:rPr>
        <w:t>（三）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重点场所</w:t>
      </w:r>
      <w:proofErr w:type="gramStart"/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管控不到位</w:t>
      </w:r>
      <w:bookmarkEnd w:id="38"/>
      <w:proofErr w:type="gramEnd"/>
    </w:p>
    <w:p w:rsidR="00F85A94" w:rsidRPr="00F85A94" w:rsidRDefault="000C3948" w:rsidP="00F85A94">
      <w:pPr>
        <w:widowControl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网吧、歌厅、酒店等寻衅滋事犯罪案件高发的重点场所，治安巡逻联防等措施不完善、落实不到位，应急处置机制不健全，甚至重点场所的安保人员也参与斗殴行为，管</w:t>
      </w:r>
      <w:proofErr w:type="gramStart"/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控效果</w:t>
      </w:r>
      <w:proofErr w:type="gramEnd"/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不好。</w:t>
      </w:r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39" w:name="_Toc20126873"/>
      <w:r>
        <w:rPr>
          <w:rFonts w:ascii="仿宋" w:eastAsia="仿宋" w:hAnsi="仿宋" w:cs="仿宋" w:hint="eastAsia"/>
          <w:b/>
          <w:bCs/>
          <w:sz w:val="32"/>
          <w:szCs w:val="32"/>
        </w:rPr>
        <w:t>（四）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打击惩治未形成合力</w:t>
      </w:r>
      <w:bookmarkEnd w:id="39"/>
    </w:p>
    <w:p w:rsidR="00F93387" w:rsidRDefault="000C3948" w:rsidP="00F93387">
      <w:pPr>
        <w:widowControl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部分犯罪嫌疑人发生寻衅滋事行为后，未能及时归案，未得到依法及时处理，客观上对其起到放纵作用；另外，部分受害者或者围观群众觉得没有造成严重伤害，往往不报案，也助长了犯罪嫌疑人的嚣张气焰。</w:t>
      </w:r>
    </w:p>
    <w:p w:rsidR="00EC5A4E" w:rsidRPr="00EC5A4E" w:rsidRDefault="00EC5A4E" w:rsidP="00EC5A4E">
      <w:pPr>
        <w:widowControl/>
        <w:spacing w:line="560" w:lineRule="atLeas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>
            <wp:extent cx="5010150" cy="1276350"/>
            <wp:effectExtent l="0" t="0" r="0" b="1905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D7454" w:rsidRDefault="000D7454" w:rsidP="00684983">
      <w:pPr>
        <w:pStyle w:val="a5"/>
        <w:widowControl/>
        <w:spacing w:beforeAutospacing="0" w:afterAutospacing="0"/>
        <w:ind w:firstLineChars="200" w:firstLine="643"/>
        <w:jc w:val="both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40" w:name="_Toc20126874"/>
    </w:p>
    <w:p w:rsidR="000C3948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 w:rsidRPr="00684983"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 w:rsidR="000C3948" w:rsidRPr="00684983">
        <w:rPr>
          <w:rFonts w:ascii="黑体" w:eastAsia="黑体" w:hAnsi="黑体" w:cs="黑体" w:hint="eastAsia"/>
          <w:b/>
          <w:bCs/>
          <w:sz w:val="32"/>
          <w:szCs w:val="32"/>
        </w:rPr>
        <w:t>、对策建议</w:t>
      </w:r>
      <w:bookmarkEnd w:id="40"/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41" w:name="_Toc20126875"/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加强法治宣传</w:t>
      </w:r>
      <w:bookmarkEnd w:id="41"/>
    </w:p>
    <w:p w:rsidR="000C3948" w:rsidRPr="001D5E30" w:rsidRDefault="000C3948" w:rsidP="000C3948">
      <w:pPr>
        <w:widowControl/>
        <w:spacing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加大法律宣传力度，不断提高公民特别是青少年的法律意识。父母加强对未成年人的管教，防范未成年人夜不归宿、酗酒等不良行为，特别是外出务工或经商的父母，要对留守子女做好完备的安排，并不时进行亲自探望、电话关照等，不能“只给钱不给时间”，防止其误入歧途；学校重视预防学生犯罪的普法教育，定期开展法治课堂、观看警示教育片等活动，注重培养学生的各方面综合素质，引导他们树立正确的世界观、人生观；司法机关借助新闻媒体通报典型案例，以案说法，让广大群众了解、关注该类案件的发生和处理，提高尊法学法守法用法的意识。</w:t>
      </w:r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42" w:name="_Toc20126876"/>
      <w:r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拓宽就业渠道</w:t>
      </w:r>
      <w:bookmarkEnd w:id="42"/>
    </w:p>
    <w:p w:rsidR="000C3948" w:rsidRPr="001D5E30" w:rsidRDefault="000C3948" w:rsidP="000C3948">
      <w:pPr>
        <w:widowControl/>
        <w:spacing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鼓励用人单位增加劳动就业岗位，为社会无业人员提供就业帮助，同时加强对无业人员的职业培训，增强这部分人员的社会综合竞争力，使其能自食其力，从而实现自我约束，减少犯罪行为的发生。</w:t>
      </w:r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43" w:name="_Toc20126877"/>
      <w:r>
        <w:rPr>
          <w:rFonts w:ascii="仿宋" w:eastAsia="仿宋" w:hAnsi="仿宋" w:cs="仿宋" w:hint="eastAsia"/>
          <w:b/>
          <w:bCs/>
          <w:sz w:val="32"/>
          <w:szCs w:val="32"/>
        </w:rPr>
        <w:t>（三）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突出防控重点</w:t>
      </w:r>
      <w:bookmarkEnd w:id="43"/>
    </w:p>
    <w:p w:rsidR="000C3948" w:rsidRPr="001D5E30" w:rsidRDefault="000C3948" w:rsidP="000C3948">
      <w:pPr>
        <w:widowControl/>
        <w:spacing w:line="560" w:lineRule="atLeast"/>
        <w:ind w:firstLine="640"/>
        <w:rPr>
          <w:rFonts w:ascii="宋体" w:eastAsia="宋体" w:hAnsi="宋体" w:cs="宋体"/>
          <w:kern w:val="0"/>
          <w:sz w:val="18"/>
          <w:szCs w:val="18"/>
        </w:rPr>
      </w:pPr>
      <w:r w:rsidRPr="001D5E30">
        <w:rPr>
          <w:rFonts w:ascii="仿宋_GB2312" w:eastAsia="仿宋_GB2312" w:hAnsi="宋体" w:cs="宋体" w:hint="eastAsia"/>
          <w:kern w:val="0"/>
          <w:sz w:val="32"/>
          <w:szCs w:val="32"/>
        </w:rPr>
        <w:t>职能部门应针对娱乐场所特点，做到防范与整顿并重，严控未成年人进入，加强对重点时段的巡查，主动盘查检查可疑人员，对非法携带管制器具的人员依法处理。娱乐场所经营者应加强员工思想教育，及时发现调处矛盾纠纷，最大限度地消除隐患，一旦发现有寻衅滋事苗头，立即报警，以免造成不必要的损伤。</w:t>
      </w:r>
    </w:p>
    <w:p w:rsidR="00684983" w:rsidRPr="00684983" w:rsidRDefault="00684983" w:rsidP="00684983">
      <w:pPr>
        <w:pStyle w:val="a5"/>
        <w:widowControl/>
        <w:spacing w:beforeAutospacing="0" w:afterAutospacing="0"/>
        <w:ind w:firstLineChars="200" w:firstLine="643"/>
        <w:jc w:val="both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bookmarkStart w:id="44" w:name="_Toc20126878"/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（四）</w:t>
      </w:r>
      <w:r w:rsidRPr="00684983">
        <w:rPr>
          <w:rFonts w:ascii="仿宋" w:eastAsia="仿宋" w:hAnsi="仿宋" w:cs="仿宋" w:hint="eastAsia"/>
          <w:b/>
          <w:bCs/>
          <w:sz w:val="32"/>
          <w:szCs w:val="32"/>
        </w:rPr>
        <w:t>加大打击力度</w:t>
      </w:r>
      <w:bookmarkEnd w:id="44"/>
    </w:p>
    <w:p w:rsidR="003B18E7" w:rsidRDefault="000C3948" w:rsidP="00684983">
      <w:pPr>
        <w:pStyle w:val="a5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1D5E30">
        <w:rPr>
          <w:rFonts w:ascii="仿宋_GB2312" w:eastAsia="仿宋_GB2312" w:hAnsi="宋体" w:cs="宋体" w:hint="eastAsia"/>
          <w:sz w:val="32"/>
          <w:szCs w:val="32"/>
        </w:rPr>
        <w:t>正确把握宽严相济的刑事政策，依法及时处理已发生的案件，对群体性寻衅滋事犯罪的首犯、主犯要加大打击力度，对符合刑法规定的缓刑条件的犯罪分子，建议在宣告缓刑同时适用“禁止令”，禁止那些在娱乐场所犯罪的人员再次进入特定场所，防止其接触犯罪诱因，避免重复犯罪的出现。</w:t>
      </w:r>
    </w:p>
    <w:sectPr w:rsidR="003B18E7" w:rsidSect="009E34FD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9" w:rsidRDefault="006C6439">
      <w:r>
        <w:separator/>
      </w:r>
    </w:p>
  </w:endnote>
  <w:endnote w:type="continuationSeparator" w:id="0">
    <w:p w:rsidR="006C6439" w:rsidRDefault="006C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A2" w:rsidRDefault="00DC23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E675" wp14:editId="6216FE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23A2" w:rsidRDefault="00DC23A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1544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lYgIAAAwFAAAOAAAAZHJzL2Uyb0RvYy54bWysVM1uEzEQviPxDpbvdNOiVl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l8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j0Lvl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C23A2" w:rsidRDefault="00DC23A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1544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9" w:rsidRDefault="006C6439">
      <w:r>
        <w:separator/>
      </w:r>
    </w:p>
  </w:footnote>
  <w:footnote w:type="continuationSeparator" w:id="0">
    <w:p w:rsidR="006C6439" w:rsidRDefault="006C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8EB"/>
    <w:multiLevelType w:val="hybridMultilevel"/>
    <w:tmpl w:val="35822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F35AAE"/>
    <w:multiLevelType w:val="hybridMultilevel"/>
    <w:tmpl w:val="321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A1691C"/>
    <w:multiLevelType w:val="hybridMultilevel"/>
    <w:tmpl w:val="5FD4E542"/>
    <w:lvl w:ilvl="0" w:tplc="8DD6E22C">
      <w:start w:val="1"/>
      <w:numFmt w:val="japaneseCounting"/>
      <w:lvlText w:val="（%1）"/>
      <w:lvlJc w:val="left"/>
      <w:pPr>
        <w:ind w:left="171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55E18"/>
    <w:rsid w:val="000143E7"/>
    <w:rsid w:val="00031DAC"/>
    <w:rsid w:val="000338BD"/>
    <w:rsid w:val="00063BCC"/>
    <w:rsid w:val="00066BE5"/>
    <w:rsid w:val="00093E22"/>
    <w:rsid w:val="000A3D88"/>
    <w:rsid w:val="000C3948"/>
    <w:rsid w:val="000D7454"/>
    <w:rsid w:val="00131B58"/>
    <w:rsid w:val="00154F01"/>
    <w:rsid w:val="001778C2"/>
    <w:rsid w:val="001A7636"/>
    <w:rsid w:val="00262409"/>
    <w:rsid w:val="002C7654"/>
    <w:rsid w:val="003738B4"/>
    <w:rsid w:val="003B18E7"/>
    <w:rsid w:val="003B42AD"/>
    <w:rsid w:val="003D4B3D"/>
    <w:rsid w:val="003D6864"/>
    <w:rsid w:val="003F08FF"/>
    <w:rsid w:val="00414F84"/>
    <w:rsid w:val="0043176D"/>
    <w:rsid w:val="00441CC6"/>
    <w:rsid w:val="004729F0"/>
    <w:rsid w:val="0047400F"/>
    <w:rsid w:val="004D5C9B"/>
    <w:rsid w:val="004E20A0"/>
    <w:rsid w:val="004F4447"/>
    <w:rsid w:val="00542521"/>
    <w:rsid w:val="00550D87"/>
    <w:rsid w:val="005679B8"/>
    <w:rsid w:val="00592F54"/>
    <w:rsid w:val="005B3683"/>
    <w:rsid w:val="006069B9"/>
    <w:rsid w:val="006614F4"/>
    <w:rsid w:val="00684983"/>
    <w:rsid w:val="0069666E"/>
    <w:rsid w:val="006B0C34"/>
    <w:rsid w:val="006C6439"/>
    <w:rsid w:val="006D4784"/>
    <w:rsid w:val="00712259"/>
    <w:rsid w:val="00721A6B"/>
    <w:rsid w:val="00746933"/>
    <w:rsid w:val="007535CE"/>
    <w:rsid w:val="00791314"/>
    <w:rsid w:val="007F57C8"/>
    <w:rsid w:val="008150BC"/>
    <w:rsid w:val="00816FAD"/>
    <w:rsid w:val="00836ED7"/>
    <w:rsid w:val="008405FC"/>
    <w:rsid w:val="00875394"/>
    <w:rsid w:val="008810A3"/>
    <w:rsid w:val="008F6502"/>
    <w:rsid w:val="00902234"/>
    <w:rsid w:val="00903468"/>
    <w:rsid w:val="00943F48"/>
    <w:rsid w:val="00954193"/>
    <w:rsid w:val="009736F1"/>
    <w:rsid w:val="009E34FD"/>
    <w:rsid w:val="009E4020"/>
    <w:rsid w:val="009E6FD1"/>
    <w:rsid w:val="00A1226D"/>
    <w:rsid w:val="00A3625C"/>
    <w:rsid w:val="00AE46C0"/>
    <w:rsid w:val="00B13220"/>
    <w:rsid w:val="00B34C62"/>
    <w:rsid w:val="00B94190"/>
    <w:rsid w:val="00BB2086"/>
    <w:rsid w:val="00BB58BE"/>
    <w:rsid w:val="00C14369"/>
    <w:rsid w:val="00C1544D"/>
    <w:rsid w:val="00CC7490"/>
    <w:rsid w:val="00CF1ACC"/>
    <w:rsid w:val="00D12554"/>
    <w:rsid w:val="00D46801"/>
    <w:rsid w:val="00D6685C"/>
    <w:rsid w:val="00D76596"/>
    <w:rsid w:val="00DA54DE"/>
    <w:rsid w:val="00DC0AFC"/>
    <w:rsid w:val="00DC1485"/>
    <w:rsid w:val="00DC23A2"/>
    <w:rsid w:val="00E4006A"/>
    <w:rsid w:val="00E61E85"/>
    <w:rsid w:val="00E82C22"/>
    <w:rsid w:val="00EC5A4E"/>
    <w:rsid w:val="00EF7DF9"/>
    <w:rsid w:val="00F72023"/>
    <w:rsid w:val="00F75142"/>
    <w:rsid w:val="00F85A94"/>
    <w:rsid w:val="00F93387"/>
    <w:rsid w:val="00FA2BC9"/>
    <w:rsid w:val="00FB3CA2"/>
    <w:rsid w:val="00FD7C32"/>
    <w:rsid w:val="00FF44FE"/>
    <w:rsid w:val="00FF4B99"/>
    <w:rsid w:val="00FF63DB"/>
    <w:rsid w:val="07FB3C55"/>
    <w:rsid w:val="3A800186"/>
    <w:rsid w:val="6CB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29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2">
    <w:name w:val="toc 2"/>
    <w:basedOn w:val="a"/>
    <w:next w:val="a"/>
    <w:uiPriority w:val="39"/>
    <w:qFormat/>
    <w:pPr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444444"/>
      <w:u w:val="none"/>
    </w:rPr>
  </w:style>
  <w:style w:type="character" w:styleId="a7">
    <w:name w:val="Hyperlink"/>
    <w:basedOn w:val="a0"/>
    <w:uiPriority w:val="99"/>
    <w:rPr>
      <w:color w:val="444444"/>
      <w:u w:val="none"/>
    </w:rPr>
  </w:style>
  <w:style w:type="paragraph" w:styleId="a8">
    <w:name w:val="Balloon Text"/>
    <w:basedOn w:val="a"/>
    <w:link w:val="Char"/>
    <w:rsid w:val="000A3D88"/>
    <w:rPr>
      <w:sz w:val="18"/>
      <w:szCs w:val="18"/>
    </w:rPr>
  </w:style>
  <w:style w:type="character" w:customStyle="1" w:styleId="Char">
    <w:name w:val="批注框文本 Char"/>
    <w:basedOn w:val="a0"/>
    <w:link w:val="a8"/>
    <w:rsid w:val="000A3D8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729F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4729F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4729F0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table" w:styleId="-1">
    <w:name w:val="Light List Accent 1"/>
    <w:basedOn w:val="a1"/>
    <w:uiPriority w:val="61"/>
    <w:rsid w:val="006069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6">
    <w:name w:val="Light List Accent 6"/>
    <w:basedOn w:val="a1"/>
    <w:uiPriority w:val="61"/>
    <w:rsid w:val="00E82C2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2">
    <w:name w:val="Light List Accent 2"/>
    <w:basedOn w:val="a1"/>
    <w:uiPriority w:val="61"/>
    <w:rsid w:val="00903468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29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2">
    <w:name w:val="toc 2"/>
    <w:basedOn w:val="a"/>
    <w:next w:val="a"/>
    <w:uiPriority w:val="39"/>
    <w:qFormat/>
    <w:pPr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444444"/>
      <w:u w:val="none"/>
    </w:rPr>
  </w:style>
  <w:style w:type="character" w:styleId="a7">
    <w:name w:val="Hyperlink"/>
    <w:basedOn w:val="a0"/>
    <w:uiPriority w:val="99"/>
    <w:rPr>
      <w:color w:val="444444"/>
      <w:u w:val="none"/>
    </w:rPr>
  </w:style>
  <w:style w:type="paragraph" w:styleId="a8">
    <w:name w:val="Balloon Text"/>
    <w:basedOn w:val="a"/>
    <w:link w:val="Char"/>
    <w:rsid w:val="000A3D88"/>
    <w:rPr>
      <w:sz w:val="18"/>
      <w:szCs w:val="18"/>
    </w:rPr>
  </w:style>
  <w:style w:type="character" w:customStyle="1" w:styleId="Char">
    <w:name w:val="批注框文本 Char"/>
    <w:basedOn w:val="a0"/>
    <w:link w:val="a8"/>
    <w:rsid w:val="000A3D8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729F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4729F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4729F0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table" w:styleId="-1">
    <w:name w:val="Light List Accent 1"/>
    <w:basedOn w:val="a1"/>
    <w:uiPriority w:val="61"/>
    <w:rsid w:val="006069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6">
    <w:name w:val="Light List Accent 6"/>
    <w:basedOn w:val="a1"/>
    <w:uiPriority w:val="61"/>
    <w:rsid w:val="00E82C2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2">
    <w:name w:val="Light List Accent 2"/>
    <w:basedOn w:val="a1"/>
    <w:uiPriority w:val="61"/>
    <w:rsid w:val="00903468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824396038086482E-2"/>
          <c:y val="0.11546602953256797"/>
          <c:w val="0.71779604191811786"/>
          <c:h val="0.79278265312255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案件数量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  <c:pt idx="5">
                  <c:v>2019年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被告人数量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7027027027027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659968697030343E-17"/>
                  <c:y val="2.252252252252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8018018018017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269342641070389E-3"/>
                  <c:y val="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  <c:pt idx="5">
                  <c:v>2019年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08480"/>
        <c:axId val="162310016"/>
      </c:barChart>
      <c:catAx>
        <c:axId val="162308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310016"/>
        <c:crosses val="autoZero"/>
        <c:auto val="1"/>
        <c:lblAlgn val="ctr"/>
        <c:lblOffset val="100"/>
        <c:noMultiLvlLbl val="0"/>
      </c:catAx>
      <c:valAx>
        <c:axId val="162310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230848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600">
                <a:latin typeface="楷体" panose="02010609060101010101" pitchFamily="49" charset="-122"/>
                <a:ea typeface="楷体" panose="02010609060101010101" pitchFamily="49" charset="-122"/>
              </a:rPr>
              <a:t>被告人作案地点情况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消费娱乐场所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  <c:pt idx="5">
                  <c:v>2019年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其他公共场所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  <c:pt idx="5">
                  <c:v>2019年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930304"/>
        <c:axId val="164931840"/>
      </c:lineChart>
      <c:catAx>
        <c:axId val="164930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931840"/>
        <c:crosses val="autoZero"/>
        <c:auto val="1"/>
        <c:lblAlgn val="ctr"/>
        <c:lblOffset val="100"/>
        <c:noMultiLvlLbl val="0"/>
      </c:catAx>
      <c:valAx>
        <c:axId val="164931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4930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sz="1600">
                <a:latin typeface="楷体" panose="02010609060101010101" pitchFamily="49" charset="-122"/>
                <a:ea typeface="楷体" panose="02010609060101010101" pitchFamily="49" charset="-122"/>
              </a:rPr>
              <a:t>被告人</a:t>
            </a:r>
            <a:r>
              <a:rPr lang="zh-CN" altLang="en-US" sz="1600">
                <a:latin typeface="楷体" panose="02010609060101010101" pitchFamily="49" charset="-122"/>
                <a:ea typeface="楷体" panose="02010609060101010101" pitchFamily="49" charset="-122"/>
              </a:rPr>
              <a:t>作案</a:t>
            </a:r>
            <a:r>
              <a:rPr lang="zh-CN" sz="1600">
                <a:latin typeface="楷体" panose="02010609060101010101" pitchFamily="49" charset="-122"/>
                <a:ea typeface="楷体" panose="02010609060101010101" pitchFamily="49" charset="-122"/>
              </a:rPr>
              <a:t>形式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个人犯罪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  <c:pt idx="5">
                  <c:v>2019年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共同犯罪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  <c:pt idx="5">
                  <c:v>2019年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82496"/>
        <c:axId val="65084032"/>
      </c:barChart>
      <c:catAx>
        <c:axId val="6508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65084032"/>
        <c:crosses val="autoZero"/>
        <c:auto val="1"/>
        <c:lblAlgn val="ctr"/>
        <c:lblOffset val="100"/>
        <c:noMultiLvlLbl val="0"/>
      </c:catAx>
      <c:valAx>
        <c:axId val="6508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082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5BE82B-6115-4CF1-AA04-9AF690A51CB5}" type="doc">
      <dgm:prSet loTypeId="urn:microsoft.com/office/officeart/2005/8/layout/venn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5EC6D69A-3FB1-47C7-9E21-C6BB026B3483}">
      <dgm:prSet phldrT="[文本]" custT="1"/>
      <dgm:spPr/>
      <dgm:t>
        <a:bodyPr/>
        <a:lstStyle/>
        <a:p>
          <a:pPr algn="ctr"/>
          <a:r>
            <a:rPr lang="zh-CN" altLang="en-US" sz="1800" b="1"/>
            <a:t>犯罪主体法律意识低</a:t>
          </a:r>
          <a:endParaRPr lang="zh-CN" altLang="en-US" sz="1800"/>
        </a:p>
      </dgm:t>
    </dgm:pt>
    <dgm:pt modelId="{73124DAC-25FE-42AF-9208-49CE6BA9FC11}" type="parTrans" cxnId="{61F64AEC-5E75-4478-A4B4-6456624620E4}">
      <dgm:prSet/>
      <dgm:spPr/>
      <dgm:t>
        <a:bodyPr/>
        <a:lstStyle/>
        <a:p>
          <a:pPr algn="ctr"/>
          <a:endParaRPr lang="zh-CN" altLang="en-US"/>
        </a:p>
      </dgm:t>
    </dgm:pt>
    <dgm:pt modelId="{D4DB49F0-6B5D-4435-89E0-92EC537ED5AE}" type="sibTrans" cxnId="{61F64AEC-5E75-4478-A4B4-6456624620E4}">
      <dgm:prSet/>
      <dgm:spPr/>
      <dgm:t>
        <a:bodyPr/>
        <a:lstStyle/>
        <a:p>
          <a:pPr algn="ctr"/>
          <a:endParaRPr lang="zh-CN" altLang="en-US"/>
        </a:p>
      </dgm:t>
    </dgm:pt>
    <dgm:pt modelId="{CD9E6E6D-48FF-41C9-BCCB-824B89C1674B}">
      <dgm:prSet phldrT="[文本]" custT="1"/>
      <dgm:spPr/>
      <dgm:t>
        <a:bodyPr/>
        <a:lstStyle/>
        <a:p>
          <a:pPr algn="ctr"/>
          <a:r>
            <a:rPr lang="zh-CN" altLang="en-US" sz="1800" b="1"/>
            <a:t>缺乏吃苦耐劳的精神</a:t>
          </a:r>
          <a:endParaRPr lang="zh-CN" altLang="en-US" sz="1800"/>
        </a:p>
      </dgm:t>
    </dgm:pt>
    <dgm:pt modelId="{F57AC418-1E6E-430B-8CCA-8DBEBADD5B30}" type="parTrans" cxnId="{0530F383-1A77-4431-9316-5DDB2CC6DF09}">
      <dgm:prSet/>
      <dgm:spPr/>
      <dgm:t>
        <a:bodyPr/>
        <a:lstStyle/>
        <a:p>
          <a:pPr algn="ctr"/>
          <a:endParaRPr lang="zh-CN" altLang="en-US"/>
        </a:p>
      </dgm:t>
    </dgm:pt>
    <dgm:pt modelId="{5E99A210-955F-40C2-9FDB-D243C01882DB}" type="sibTrans" cxnId="{0530F383-1A77-4431-9316-5DDB2CC6DF09}">
      <dgm:prSet/>
      <dgm:spPr/>
      <dgm:t>
        <a:bodyPr/>
        <a:lstStyle/>
        <a:p>
          <a:pPr algn="ctr"/>
          <a:endParaRPr lang="zh-CN" altLang="en-US"/>
        </a:p>
      </dgm:t>
    </dgm:pt>
    <dgm:pt modelId="{899BAFD8-654B-4758-AC02-F02C589FD74E}">
      <dgm:prSet phldrT="[文本]" custT="1"/>
      <dgm:spPr/>
      <dgm:t>
        <a:bodyPr/>
        <a:lstStyle/>
        <a:p>
          <a:pPr algn="ctr"/>
          <a:r>
            <a:rPr lang="zh-CN" altLang="en-US" sz="1800" b="1"/>
            <a:t>重点场所管控不到位</a:t>
          </a:r>
          <a:endParaRPr lang="zh-CN" altLang="en-US" sz="1800"/>
        </a:p>
      </dgm:t>
    </dgm:pt>
    <dgm:pt modelId="{FF4A2669-4B3F-4AD3-8D2A-7ED1CB1E09D2}" type="parTrans" cxnId="{765C4A5F-24DF-41CE-8BB3-587352F73D58}">
      <dgm:prSet/>
      <dgm:spPr/>
      <dgm:t>
        <a:bodyPr/>
        <a:lstStyle/>
        <a:p>
          <a:pPr algn="ctr"/>
          <a:endParaRPr lang="zh-CN" altLang="en-US"/>
        </a:p>
      </dgm:t>
    </dgm:pt>
    <dgm:pt modelId="{A4CF828D-4EF8-4429-B2C8-51E3ECA36B1A}" type="sibTrans" cxnId="{765C4A5F-24DF-41CE-8BB3-587352F73D58}">
      <dgm:prSet/>
      <dgm:spPr/>
      <dgm:t>
        <a:bodyPr/>
        <a:lstStyle/>
        <a:p>
          <a:pPr algn="ctr"/>
          <a:endParaRPr lang="zh-CN" altLang="en-US"/>
        </a:p>
      </dgm:t>
    </dgm:pt>
    <dgm:pt modelId="{E2C2F9C6-85FE-4354-A4D8-CD763E7D9DE1}">
      <dgm:prSet phldrT="[文本]" custT="1"/>
      <dgm:spPr/>
      <dgm:t>
        <a:bodyPr/>
        <a:lstStyle/>
        <a:p>
          <a:pPr algn="ctr"/>
          <a:r>
            <a:rPr lang="zh-CN" altLang="en-US" sz="1800" b="1"/>
            <a:t>打击惩治未形成合力</a:t>
          </a:r>
          <a:endParaRPr lang="zh-CN" altLang="en-US" sz="1800"/>
        </a:p>
      </dgm:t>
    </dgm:pt>
    <dgm:pt modelId="{A9D4E9B2-A370-4A21-AEEF-A61B55E925FB}" type="parTrans" cxnId="{25BBC6AD-CF2A-4537-8820-077B6D37A613}">
      <dgm:prSet/>
      <dgm:spPr/>
      <dgm:t>
        <a:bodyPr/>
        <a:lstStyle/>
        <a:p>
          <a:pPr algn="ctr"/>
          <a:endParaRPr lang="zh-CN" altLang="en-US"/>
        </a:p>
      </dgm:t>
    </dgm:pt>
    <dgm:pt modelId="{03035EDF-08F6-4540-B102-9395F50A8882}" type="sibTrans" cxnId="{25BBC6AD-CF2A-4537-8820-077B6D37A613}">
      <dgm:prSet/>
      <dgm:spPr/>
      <dgm:t>
        <a:bodyPr/>
        <a:lstStyle/>
        <a:p>
          <a:pPr algn="ctr"/>
          <a:endParaRPr lang="zh-CN" altLang="en-US"/>
        </a:p>
      </dgm:t>
    </dgm:pt>
    <dgm:pt modelId="{0998CF91-20BA-4BC3-892D-BE38BAB8C333}" type="pres">
      <dgm:prSet presAssocID="{4C5BE82B-6115-4CF1-AA04-9AF690A51CB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B8523E51-A9C2-42F0-BB5F-328AC0436AA4}" type="pres">
      <dgm:prSet presAssocID="{5EC6D69A-3FB1-47C7-9E21-C6BB026B3483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73C53E5-B24B-45C3-BCF0-B96C0A95C488}" type="pres">
      <dgm:prSet presAssocID="{D4DB49F0-6B5D-4435-89E0-92EC537ED5AE}" presName="space" presStyleCnt="0"/>
      <dgm:spPr/>
    </dgm:pt>
    <dgm:pt modelId="{729E53C8-4979-4C6E-BD09-EB696116BB5E}" type="pres">
      <dgm:prSet presAssocID="{CD9E6E6D-48FF-41C9-BCCB-824B89C1674B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845C339-6196-4380-A816-153BDBD3E434}" type="pres">
      <dgm:prSet presAssocID="{5E99A210-955F-40C2-9FDB-D243C01882DB}" presName="space" presStyleCnt="0"/>
      <dgm:spPr/>
    </dgm:pt>
    <dgm:pt modelId="{9BDDA40F-B302-41E1-83D3-05E99C9B56CD}" type="pres">
      <dgm:prSet presAssocID="{899BAFD8-654B-4758-AC02-F02C589FD74E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15879DF-7344-4E1D-9782-1ADF74CC4810}" type="pres">
      <dgm:prSet presAssocID="{A4CF828D-4EF8-4429-B2C8-51E3ECA36B1A}" presName="space" presStyleCnt="0"/>
      <dgm:spPr/>
    </dgm:pt>
    <dgm:pt modelId="{48F3987B-72FA-4BCE-83AA-B4C874EED7F0}" type="pres">
      <dgm:prSet presAssocID="{E2C2F9C6-85FE-4354-A4D8-CD763E7D9DE1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FF0DAD1-9F2D-4E35-BA01-9F049E01B7FA}" type="presOf" srcId="{4C5BE82B-6115-4CF1-AA04-9AF690A51CB5}" destId="{0998CF91-20BA-4BC3-892D-BE38BAB8C333}" srcOrd="0" destOrd="0" presId="urn:microsoft.com/office/officeart/2005/8/layout/venn3"/>
    <dgm:cxn modelId="{AA983E68-F311-449A-B5AC-541A9904AAE6}" type="presOf" srcId="{E2C2F9C6-85FE-4354-A4D8-CD763E7D9DE1}" destId="{48F3987B-72FA-4BCE-83AA-B4C874EED7F0}" srcOrd="0" destOrd="0" presId="urn:microsoft.com/office/officeart/2005/8/layout/venn3"/>
    <dgm:cxn modelId="{765C4A5F-24DF-41CE-8BB3-587352F73D58}" srcId="{4C5BE82B-6115-4CF1-AA04-9AF690A51CB5}" destId="{899BAFD8-654B-4758-AC02-F02C589FD74E}" srcOrd="2" destOrd="0" parTransId="{FF4A2669-4B3F-4AD3-8D2A-7ED1CB1E09D2}" sibTransId="{A4CF828D-4EF8-4429-B2C8-51E3ECA36B1A}"/>
    <dgm:cxn modelId="{61F64AEC-5E75-4478-A4B4-6456624620E4}" srcId="{4C5BE82B-6115-4CF1-AA04-9AF690A51CB5}" destId="{5EC6D69A-3FB1-47C7-9E21-C6BB026B3483}" srcOrd="0" destOrd="0" parTransId="{73124DAC-25FE-42AF-9208-49CE6BA9FC11}" sibTransId="{D4DB49F0-6B5D-4435-89E0-92EC537ED5AE}"/>
    <dgm:cxn modelId="{0530F383-1A77-4431-9316-5DDB2CC6DF09}" srcId="{4C5BE82B-6115-4CF1-AA04-9AF690A51CB5}" destId="{CD9E6E6D-48FF-41C9-BCCB-824B89C1674B}" srcOrd="1" destOrd="0" parTransId="{F57AC418-1E6E-430B-8CCA-8DBEBADD5B30}" sibTransId="{5E99A210-955F-40C2-9FDB-D243C01882DB}"/>
    <dgm:cxn modelId="{6196D7B8-6BAB-46C4-9776-06B66E0DED3B}" type="presOf" srcId="{CD9E6E6D-48FF-41C9-BCCB-824B89C1674B}" destId="{729E53C8-4979-4C6E-BD09-EB696116BB5E}" srcOrd="0" destOrd="0" presId="urn:microsoft.com/office/officeart/2005/8/layout/venn3"/>
    <dgm:cxn modelId="{25BBC6AD-CF2A-4537-8820-077B6D37A613}" srcId="{4C5BE82B-6115-4CF1-AA04-9AF690A51CB5}" destId="{E2C2F9C6-85FE-4354-A4D8-CD763E7D9DE1}" srcOrd="3" destOrd="0" parTransId="{A9D4E9B2-A370-4A21-AEEF-A61B55E925FB}" sibTransId="{03035EDF-08F6-4540-B102-9395F50A8882}"/>
    <dgm:cxn modelId="{097F511D-2126-49DA-B01E-D181F3D26C40}" type="presOf" srcId="{5EC6D69A-3FB1-47C7-9E21-C6BB026B3483}" destId="{B8523E51-A9C2-42F0-BB5F-328AC0436AA4}" srcOrd="0" destOrd="0" presId="urn:microsoft.com/office/officeart/2005/8/layout/venn3"/>
    <dgm:cxn modelId="{D5CF83D1-33CB-4050-BE7E-3BD2BE5FA718}" type="presOf" srcId="{899BAFD8-654B-4758-AC02-F02C589FD74E}" destId="{9BDDA40F-B302-41E1-83D3-05E99C9B56CD}" srcOrd="0" destOrd="0" presId="urn:microsoft.com/office/officeart/2005/8/layout/venn3"/>
    <dgm:cxn modelId="{D45AE6E0-45FC-4E89-9307-D6D5085EE0F0}" type="presParOf" srcId="{0998CF91-20BA-4BC3-892D-BE38BAB8C333}" destId="{B8523E51-A9C2-42F0-BB5F-328AC0436AA4}" srcOrd="0" destOrd="0" presId="urn:microsoft.com/office/officeart/2005/8/layout/venn3"/>
    <dgm:cxn modelId="{96A60DF7-3BF1-4B81-96B3-C69BDD0F2582}" type="presParOf" srcId="{0998CF91-20BA-4BC3-892D-BE38BAB8C333}" destId="{E73C53E5-B24B-45C3-BCF0-B96C0A95C488}" srcOrd="1" destOrd="0" presId="urn:microsoft.com/office/officeart/2005/8/layout/venn3"/>
    <dgm:cxn modelId="{B629097C-1322-480E-AED6-9C944B01CDEC}" type="presParOf" srcId="{0998CF91-20BA-4BC3-892D-BE38BAB8C333}" destId="{729E53C8-4979-4C6E-BD09-EB696116BB5E}" srcOrd="2" destOrd="0" presId="urn:microsoft.com/office/officeart/2005/8/layout/venn3"/>
    <dgm:cxn modelId="{716DEA32-A990-4763-8E7C-E16FB8786C22}" type="presParOf" srcId="{0998CF91-20BA-4BC3-892D-BE38BAB8C333}" destId="{F845C339-6196-4380-A816-153BDBD3E434}" srcOrd="3" destOrd="0" presId="urn:microsoft.com/office/officeart/2005/8/layout/venn3"/>
    <dgm:cxn modelId="{43CD9DBC-93FF-4EDC-95E0-6E7726FF27ED}" type="presParOf" srcId="{0998CF91-20BA-4BC3-892D-BE38BAB8C333}" destId="{9BDDA40F-B302-41E1-83D3-05E99C9B56CD}" srcOrd="4" destOrd="0" presId="urn:microsoft.com/office/officeart/2005/8/layout/venn3"/>
    <dgm:cxn modelId="{78C71693-6590-4E1F-A416-1D9EC0DC8FB4}" type="presParOf" srcId="{0998CF91-20BA-4BC3-892D-BE38BAB8C333}" destId="{215879DF-7344-4E1D-9782-1ADF74CC4810}" srcOrd="5" destOrd="0" presId="urn:microsoft.com/office/officeart/2005/8/layout/venn3"/>
    <dgm:cxn modelId="{6A90B19B-0CEA-406E-9C69-BFBA79773A36}" type="presParOf" srcId="{0998CF91-20BA-4BC3-892D-BE38BAB8C333}" destId="{48F3987B-72FA-4BCE-83AA-B4C874EED7F0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523E51-A9C2-42F0-BB5F-328AC0436AA4}">
      <dsp:nvSpPr>
        <dsp:cNvPr id="0" name=""/>
        <dsp:cNvSpPr/>
      </dsp:nvSpPr>
      <dsp:spPr>
        <a:xfrm>
          <a:off x="338331" y="897"/>
          <a:ext cx="1274554" cy="127455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0143" tIns="22860" rIns="70143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1" kern="1200"/>
            <a:t>犯罪主体法律意识低</a:t>
          </a:r>
          <a:endParaRPr lang="zh-CN" altLang="en-US" sz="1800" kern="1200"/>
        </a:p>
      </dsp:txBody>
      <dsp:txXfrm>
        <a:off x="524985" y="187551"/>
        <a:ext cx="901246" cy="901246"/>
      </dsp:txXfrm>
    </dsp:sp>
    <dsp:sp modelId="{729E53C8-4979-4C6E-BD09-EB696116BB5E}">
      <dsp:nvSpPr>
        <dsp:cNvPr id="0" name=""/>
        <dsp:cNvSpPr/>
      </dsp:nvSpPr>
      <dsp:spPr>
        <a:xfrm>
          <a:off x="1357975" y="897"/>
          <a:ext cx="1274554" cy="1274554"/>
        </a:xfrm>
        <a:prstGeom prst="ellipse">
          <a:avLst/>
        </a:prstGeom>
        <a:solidFill>
          <a:schemeClr val="accent4">
            <a:alpha val="50000"/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0143" tIns="22860" rIns="70143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1" kern="1200"/>
            <a:t>缺乏吃苦耐劳的精神</a:t>
          </a:r>
          <a:endParaRPr lang="zh-CN" altLang="en-US" sz="1800" kern="1200"/>
        </a:p>
      </dsp:txBody>
      <dsp:txXfrm>
        <a:off x="1544629" y="187551"/>
        <a:ext cx="901246" cy="901246"/>
      </dsp:txXfrm>
    </dsp:sp>
    <dsp:sp modelId="{9BDDA40F-B302-41E1-83D3-05E99C9B56CD}">
      <dsp:nvSpPr>
        <dsp:cNvPr id="0" name=""/>
        <dsp:cNvSpPr/>
      </dsp:nvSpPr>
      <dsp:spPr>
        <a:xfrm>
          <a:off x="2377619" y="897"/>
          <a:ext cx="1274554" cy="1274554"/>
        </a:xfrm>
        <a:prstGeom prst="ellipse">
          <a:avLst/>
        </a:prstGeom>
        <a:solidFill>
          <a:schemeClr val="accent4">
            <a:alpha val="50000"/>
            <a:hueOff val="6930462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0143" tIns="22860" rIns="70143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1" kern="1200"/>
            <a:t>重点场所管控不到位</a:t>
          </a:r>
          <a:endParaRPr lang="zh-CN" altLang="en-US" sz="1800" kern="1200"/>
        </a:p>
      </dsp:txBody>
      <dsp:txXfrm>
        <a:off x="2564273" y="187551"/>
        <a:ext cx="901246" cy="901246"/>
      </dsp:txXfrm>
    </dsp:sp>
    <dsp:sp modelId="{48F3987B-72FA-4BCE-83AA-B4C874EED7F0}">
      <dsp:nvSpPr>
        <dsp:cNvPr id="0" name=""/>
        <dsp:cNvSpPr/>
      </dsp:nvSpPr>
      <dsp:spPr>
        <a:xfrm>
          <a:off x="3397263" y="897"/>
          <a:ext cx="1274554" cy="1274554"/>
        </a:xfrm>
        <a:prstGeom prst="ellipse">
          <a:avLst/>
        </a:prstGeom>
        <a:solidFill>
          <a:schemeClr val="accent4">
            <a:alpha val="50000"/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0143" tIns="22860" rIns="70143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1" kern="1200"/>
            <a:t>打击惩治未形成合力</a:t>
          </a:r>
          <a:endParaRPr lang="zh-CN" altLang="en-US" sz="1800" kern="1200"/>
        </a:p>
      </dsp:txBody>
      <dsp:txXfrm>
        <a:off x="3583917" y="187551"/>
        <a:ext cx="901246" cy="901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FEDEB-0BD3-4A64-B77D-BC46D297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3800</Words>
  <Characters>1957</Characters>
  <Application>Microsoft Office Word</Application>
  <DocSecurity>0</DocSecurity>
  <Lines>16</Lines>
  <Paragraphs>11</Paragraphs>
  <ScaleCrop>false</ScaleCrop>
  <Company>china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2019-09-23T03:15:00Z</cp:lastPrinted>
  <dcterms:created xsi:type="dcterms:W3CDTF">2019-09-23T05:26:00Z</dcterms:created>
  <dcterms:modified xsi:type="dcterms:W3CDTF">2019-09-29T02:13:00Z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